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629A" w14:textId="77777777" w:rsidR="0032014B" w:rsidRPr="00FD56A7" w:rsidRDefault="00FD56A7" w:rsidP="00FD56A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D56A7">
        <w:rPr>
          <w:rFonts w:ascii="Times New Roman" w:hAnsi="Times New Roman" w:cs="Times New Roman"/>
          <w:b/>
        </w:rPr>
        <w:t xml:space="preserve">Техническое задание </w:t>
      </w:r>
    </w:p>
    <w:p w14:paraId="30829965" w14:textId="77777777" w:rsidR="00FD56A7" w:rsidRDefault="00FD56A7" w:rsidP="007C5263">
      <w:pPr>
        <w:spacing w:after="100" w:afterAutospacing="1"/>
        <w:ind w:firstLine="709"/>
        <w:jc w:val="center"/>
        <w:rPr>
          <w:rFonts w:ascii="Times New Roman" w:hAnsi="Times New Roman" w:cs="Times New Roman"/>
          <w:b/>
        </w:rPr>
      </w:pPr>
      <w:r w:rsidRPr="00FD56A7">
        <w:rPr>
          <w:rFonts w:ascii="Times New Roman" w:hAnsi="Times New Roman" w:cs="Times New Roman"/>
          <w:b/>
        </w:rPr>
        <w:t>на оказание услуг по проведению строительного аудита/финансово-технического контроля</w:t>
      </w:r>
    </w:p>
    <w:p w14:paraId="56B83C18" w14:textId="2F15E991" w:rsidR="000E32CA" w:rsidRDefault="000E32CA" w:rsidP="007C5263">
      <w:pPr>
        <w:spacing w:after="100" w:afterAutospacing="1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проекта «Комплексная реконструкция предприятия ОАО «Северное Молоко» 2018-2022 гг.»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5788"/>
        <w:gridCol w:w="1986"/>
      </w:tblGrid>
      <w:tr w:rsidR="00920717" w:rsidRPr="00920717" w14:paraId="11655CEB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1D437D74" w14:textId="77777777" w:rsidR="00920717" w:rsidRPr="00920717" w:rsidRDefault="00920717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20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Подтверждение основных параметров по Проекту в рамках отчета по строительному аудиту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413082BD" w14:textId="77777777" w:rsidR="00920717" w:rsidRPr="00920717" w:rsidRDefault="00920717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20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параметра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D145DF4" w14:textId="77777777" w:rsidR="00920717" w:rsidRPr="00920717" w:rsidRDefault="00920717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2071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Подтверждаются/ не подтверждаются</w:t>
            </w:r>
          </w:p>
        </w:tc>
      </w:tr>
      <w:tr w:rsidR="00920717" w:rsidRPr="00920717" w14:paraId="43E84CEB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78AA5FD6" w14:textId="77777777" w:rsidR="00920717" w:rsidRPr="00920717" w:rsidRDefault="00112F58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897" w:type="pct"/>
            <w:shd w:val="clear" w:color="auto" w:fill="auto"/>
          </w:tcPr>
          <w:p w14:paraId="3B2B84FC" w14:textId="77777777" w:rsidR="00920717" w:rsidRPr="00920717" w:rsidRDefault="00920717" w:rsidP="000C0445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>соответствие Бюджета Проекта с детализацией статей в виде сводного сметного расчета рыночным условиям (рыночной стоимости строительства, оборудования и т.п.), условиям разработанной проектно-сметной документации и целям Проекта;</w:t>
            </w:r>
          </w:p>
          <w:p w14:paraId="0F999549" w14:textId="77777777" w:rsidR="00920717" w:rsidRPr="00920717" w:rsidRDefault="00920717" w:rsidP="000C0445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1200CDEA" w14:textId="77777777" w:rsidR="00920717" w:rsidRPr="00920717" w:rsidRDefault="00920717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20717" w:rsidRPr="00920717" w14:paraId="1793A2BD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41DBB514" w14:textId="77777777" w:rsidR="00920717" w:rsidRPr="00920717" w:rsidRDefault="00112F58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897" w:type="pct"/>
            <w:shd w:val="clear" w:color="auto" w:fill="auto"/>
          </w:tcPr>
          <w:p w14:paraId="24BE94B6" w14:textId="6EDA9E55" w:rsidR="00193D72" w:rsidRDefault="00920717" w:rsidP="000C0445">
            <w:pPr>
              <w:widowControl w:val="0"/>
              <w:tabs>
                <w:tab w:val="left" w:pos="133"/>
                <w:tab w:val="left" w:pos="36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>величина Бюджета Проекта</w:t>
            </w:r>
            <w:r w:rsidR="00193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3D72" w:rsidRPr="00193D72">
              <w:rPr>
                <w:rFonts w:ascii="Times New Roman" w:hAnsi="Times New Roman" w:cs="Times New Roman"/>
                <w:sz w:val="16"/>
                <w:szCs w:val="16"/>
              </w:rPr>
              <w:t>(совокупно по всем объектам Проекта)</w:t>
            </w: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 xml:space="preserve"> в размере не более </w:t>
            </w:r>
            <w:r w:rsidR="00577FDC" w:rsidRPr="00E31C47">
              <w:rPr>
                <w:rFonts w:ascii="Times New Roman" w:hAnsi="Times New Roman" w:cs="Times New Roman"/>
                <w:sz w:val="16"/>
                <w:szCs w:val="16"/>
              </w:rPr>
              <w:t xml:space="preserve">2 858 246 </w:t>
            </w:r>
            <w:r w:rsidR="000B1187" w:rsidRPr="00E31C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77FDC" w:rsidRPr="00E31C47">
              <w:rPr>
                <w:rFonts w:ascii="Times New Roman" w:hAnsi="Times New Roman" w:cs="Times New Roman"/>
                <w:sz w:val="16"/>
                <w:szCs w:val="16"/>
              </w:rPr>
              <w:t>Два миллиарда восемьсот пятьдесят восемь миллионов двести сорок шесть) тысяч</w:t>
            </w:r>
            <w:r w:rsidRPr="00E31C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 w:rsidR="00577FDC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0B1187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Pr="00C04B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26DA7" w:rsidRPr="00C04B43">
              <w:t xml:space="preserve"> </w:t>
            </w:r>
            <w:r w:rsidR="00726DA7" w:rsidRPr="00C04B43">
              <w:rPr>
                <w:rFonts w:ascii="Times New Roman" w:hAnsi="Times New Roman" w:cs="Times New Roman"/>
                <w:sz w:val="16"/>
                <w:szCs w:val="16"/>
              </w:rPr>
              <w:t xml:space="preserve">и по соответствующему объекту Проекта в размере, указанном </w:t>
            </w:r>
            <w:r w:rsidR="007A1B9D" w:rsidRPr="00C04B43">
              <w:rPr>
                <w:rFonts w:ascii="Times New Roman" w:hAnsi="Times New Roman" w:cs="Times New Roman"/>
                <w:sz w:val="16"/>
                <w:szCs w:val="16"/>
              </w:rPr>
              <w:t>в Бюджете</w:t>
            </w:r>
            <w:r w:rsidR="00726DA7" w:rsidRPr="00C04B43">
              <w:rPr>
                <w:rFonts w:ascii="Times New Roman" w:hAnsi="Times New Roman" w:cs="Times New Roman"/>
                <w:sz w:val="16"/>
                <w:szCs w:val="16"/>
              </w:rPr>
              <w:t xml:space="preserve"> проекта,</w:t>
            </w:r>
            <w:r w:rsidRPr="00C04B43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 xml:space="preserve"> этом допускается отклонение в сторону увеличения/ уменьшения Бюджета Проекта</w:t>
            </w:r>
            <w:r w:rsidR="00193D7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E5BD8CB" w14:textId="77777777" w:rsidR="00193D72" w:rsidRDefault="00193D72" w:rsidP="000C0445">
            <w:pPr>
              <w:widowControl w:val="0"/>
              <w:tabs>
                <w:tab w:val="left" w:pos="133"/>
                <w:tab w:val="left" w:pos="36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 w:rsidR="00920717" w:rsidRPr="00920717">
              <w:rPr>
                <w:rFonts w:ascii="Times New Roman" w:hAnsi="Times New Roman" w:cs="Times New Roman"/>
                <w:sz w:val="16"/>
                <w:szCs w:val="16"/>
              </w:rPr>
              <w:t>не более чем на 5% (в том числе постатейно не более чем на 10%);</w:t>
            </w:r>
          </w:p>
          <w:p w14:paraId="6498B2F2" w14:textId="08000D8C" w:rsidR="00920717" w:rsidRPr="00920717" w:rsidRDefault="00193D72" w:rsidP="000C0445">
            <w:pPr>
              <w:widowControl w:val="0"/>
              <w:tabs>
                <w:tab w:val="left" w:pos="133"/>
                <w:tab w:val="left" w:pos="36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Pr="00193D72">
              <w:rPr>
                <w:rFonts w:ascii="Times New Roman" w:hAnsi="Times New Roman" w:cs="Times New Roman"/>
                <w:sz w:val="16"/>
                <w:szCs w:val="16"/>
              </w:rPr>
              <w:t>более чем на 10% по стать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е «Строительно-монтажные работы» по объектам:</w:t>
            </w:r>
            <w:r w:rsidR="000B11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5547" w:rsidRPr="00F7554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Склад упаковки</w:t>
            </w:r>
            <w:r w:rsidR="00F755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 этап строительства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E31C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аслоцех</w:t>
            </w:r>
            <w:proofErr w:type="spellEnd"/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, приемка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 xml:space="preserve"> сырья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 xml:space="preserve">, склад </w:t>
            </w:r>
            <w:proofErr w:type="spellStart"/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маслоцеха</w:t>
            </w:r>
            <w:proofErr w:type="spellEnd"/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этап строительства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2 этажная вставка  МОНОЛИТ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 xml:space="preserve">4-х этажная, 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>лаборатория, п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ромежуточный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 склад 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хранения упаковки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="007F382D" w:rsidRPr="00EC6C6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 этап строительства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дание сушки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, вакуумно-выпарные установки,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дание сыворотки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>она фасовки</w:t>
            </w:r>
            <w:r w:rsidR="007F38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240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2404B" w:rsidRPr="006E58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 этап строительства</w:t>
            </w:r>
            <w:r w:rsidR="0002404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>онтаж фасовочных автоматов на участке фасовки</w:t>
            </w:r>
            <w:r w:rsidR="000B11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F382D" w:rsidRPr="007F38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D72">
              <w:rPr>
                <w:rFonts w:ascii="Times New Roman" w:hAnsi="Times New Roman" w:cs="Times New Roman"/>
                <w:sz w:val="16"/>
                <w:szCs w:val="16"/>
              </w:rPr>
              <w:t>Бюджета Проекта в сторону  уменьшения в связи с изменением курса рубля к Евро и Доллару США</w:t>
            </w:r>
            <w:r w:rsidR="00E602D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3D72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их значение составит меньше 75 рублей за Евро и 60 рублей за Доллар США</w:t>
            </w:r>
            <w:r w:rsidR="00EA5B3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EABCDEA" w14:textId="2E45CA52" w:rsidR="00920717" w:rsidRDefault="000B1187" w:rsidP="00E31C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C47">
              <w:rPr>
                <w:rFonts w:ascii="Times New Roman" w:hAnsi="Times New Roman" w:cs="Times New Roman"/>
                <w:sz w:val="16"/>
                <w:szCs w:val="16"/>
              </w:rPr>
              <w:t xml:space="preserve">* В бюджете не учтены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r w:rsidRPr="00E31C47">
              <w:rPr>
                <w:rFonts w:ascii="Times New Roman" w:hAnsi="Times New Roman" w:cs="Times New Roman"/>
                <w:sz w:val="16"/>
                <w:szCs w:val="16"/>
              </w:rPr>
              <w:t>4 этап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1C4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(Склад готовой продукции)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31C47">
              <w:rPr>
                <w:rFonts w:ascii="Times New Roman" w:hAnsi="Times New Roman" w:cs="Times New Roman"/>
                <w:sz w:val="16"/>
                <w:szCs w:val="16"/>
              </w:rPr>
              <w:t>5 этап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1C47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(реконструкция АБК), так как </w:t>
            </w:r>
            <w:r w:rsidR="00E31C47" w:rsidRPr="00E31C47">
              <w:rPr>
                <w:rFonts w:ascii="Times New Roman" w:hAnsi="Times New Roman" w:cs="Times New Roman"/>
                <w:sz w:val="16"/>
                <w:szCs w:val="16"/>
              </w:rPr>
              <w:t>на текущий момент времени данные объекты не оценен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4752D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31C47" w:rsidRPr="00E31C47">
              <w:rPr>
                <w:rFonts w:ascii="Times New Roman" w:hAnsi="Times New Roman" w:cs="Times New Roman"/>
                <w:sz w:val="16"/>
                <w:szCs w:val="16"/>
              </w:rPr>
              <w:t xml:space="preserve">срок их строительства </w:t>
            </w:r>
            <w:r w:rsidR="004752DC">
              <w:rPr>
                <w:rFonts w:ascii="Times New Roman" w:hAnsi="Times New Roman" w:cs="Times New Roman"/>
                <w:sz w:val="16"/>
                <w:szCs w:val="16"/>
              </w:rPr>
              <w:t xml:space="preserve">выходит за пределы срока выборки кредита и </w:t>
            </w:r>
            <w:r w:rsidR="00E31C47" w:rsidRPr="00E31C47">
              <w:rPr>
                <w:rFonts w:ascii="Times New Roman" w:hAnsi="Times New Roman" w:cs="Times New Roman"/>
                <w:sz w:val="16"/>
                <w:szCs w:val="16"/>
              </w:rPr>
              <w:t>указан ориентировочно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15C787" w14:textId="3655A5DE" w:rsidR="00E31C47" w:rsidRPr="00E31C47" w:rsidRDefault="00E31C47" w:rsidP="00E31C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указана с учетом НДС.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4B94692C" w14:textId="77777777" w:rsidR="00920717" w:rsidRPr="00920717" w:rsidRDefault="00920717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20717" w:rsidRPr="00920717" w14:paraId="4A5A0C21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15D6F9C4" w14:textId="60075E4D" w:rsidR="00920717" w:rsidRPr="00920717" w:rsidRDefault="00112F58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897" w:type="pct"/>
            <w:shd w:val="clear" w:color="auto" w:fill="auto"/>
          </w:tcPr>
          <w:p w14:paraId="564EB3FD" w14:textId="77777777" w:rsidR="00F75547" w:rsidRDefault="00EA5B3F" w:rsidP="00EA5B3F">
            <w:pPr>
              <w:widowControl w:val="0"/>
              <w:tabs>
                <w:tab w:val="left" w:pos="142"/>
                <w:tab w:val="left" w:pos="36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>возможност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 xml:space="preserve"> завершения строительства и ввода объектов, входящих в состав Проекта, в эксплуатацию в срок 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3388428" w14:textId="611DE843" w:rsidR="00920717" w:rsidRPr="00920717" w:rsidRDefault="00F75547" w:rsidP="00EA5B3F">
            <w:pPr>
              <w:widowControl w:val="0"/>
              <w:tabs>
                <w:tab w:val="left" w:pos="142"/>
                <w:tab w:val="left" w:pos="36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Склад упаковки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завершено;</w:t>
            </w:r>
          </w:p>
          <w:p w14:paraId="5A32D5F6" w14:textId="34AA4228" w:rsidR="009037D5" w:rsidRPr="00EA5B3F" w:rsidRDefault="00EA5B3F" w:rsidP="00EA5B3F">
            <w:pPr>
              <w:widowControl w:val="0"/>
              <w:tabs>
                <w:tab w:val="left" w:pos="36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 этап строительства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E31C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>аслоцех</w:t>
            </w:r>
            <w:proofErr w:type="spellEnd"/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 xml:space="preserve">, приемка, склад </w:t>
            </w:r>
            <w:proofErr w:type="spellStart"/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>маслоцеха</w:t>
            </w:r>
            <w:proofErr w:type="spellEnd"/>
            <w:r w:rsidR="006E58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завершено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B4719B4" w14:textId="619B774F" w:rsidR="009037D5" w:rsidRPr="00EA5B3F" w:rsidRDefault="00EA5B3F" w:rsidP="00EA5B3F">
            <w:pPr>
              <w:widowControl w:val="0"/>
              <w:tabs>
                <w:tab w:val="left" w:pos="36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этап строительства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A1B9D" w:rsidRPr="007F382D">
              <w:rPr>
                <w:rFonts w:ascii="Times New Roman" w:hAnsi="Times New Roman" w:cs="Times New Roman"/>
                <w:sz w:val="16"/>
                <w:szCs w:val="16"/>
              </w:rPr>
              <w:t>2-этажная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1B9D" w:rsidRPr="007F382D">
              <w:rPr>
                <w:rFonts w:ascii="Times New Roman" w:hAnsi="Times New Roman" w:cs="Times New Roman"/>
                <w:sz w:val="16"/>
                <w:szCs w:val="16"/>
              </w:rPr>
              <w:t>вставка МОНОЛИТ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 xml:space="preserve">4-х этажная, 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>лаборатория, п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>ромежуточный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 склад 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>хранения упаковки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19.02.2021 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>г.;</w:t>
            </w:r>
          </w:p>
          <w:p w14:paraId="21B1F857" w14:textId="139DCFDA" w:rsidR="009037D5" w:rsidRDefault="00EA5B3F" w:rsidP="00EA5B3F">
            <w:pPr>
              <w:widowControl w:val="0"/>
              <w:tabs>
                <w:tab w:val="left" w:pos="36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E58D8" w:rsidRPr="00EC6C6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 этап строительства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>дание сушки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, вакуумно-выпарные установки,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>дание сыворотки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E58D8" w:rsidRPr="007F382D">
              <w:rPr>
                <w:rFonts w:ascii="Times New Roman" w:hAnsi="Times New Roman" w:cs="Times New Roman"/>
                <w:sz w:val="16"/>
                <w:szCs w:val="16"/>
              </w:rPr>
              <w:t>она фасовки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97DF9">
              <w:rPr>
                <w:rFonts w:ascii="Times New Roman" w:hAnsi="Times New Roman" w:cs="Times New Roman"/>
                <w:sz w:val="16"/>
                <w:szCs w:val="16"/>
              </w:rPr>
              <w:t xml:space="preserve">04.11.2020 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E58D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36E2B04" w14:textId="5A8DA5F2" w:rsidR="006E58D8" w:rsidRDefault="006E58D8" w:rsidP="00EA5B3F">
            <w:pPr>
              <w:widowControl w:val="0"/>
              <w:tabs>
                <w:tab w:val="left" w:pos="36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8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 этап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(монтаж фасовочных автоматов на участке фасовки) – </w:t>
            </w:r>
            <w:r w:rsidR="00D8587F" w:rsidRPr="00463C75"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  <w:r w:rsidRPr="00463C75">
              <w:rPr>
                <w:rFonts w:ascii="Times New Roman" w:hAnsi="Times New Roman" w:cs="Times New Roman"/>
                <w:sz w:val="16"/>
                <w:szCs w:val="16"/>
              </w:rPr>
              <w:t>.2021 г.;</w:t>
            </w:r>
          </w:p>
          <w:p w14:paraId="11479A8C" w14:textId="473FB5E9" w:rsidR="00E31C47" w:rsidRDefault="00E31C47" w:rsidP="00E31C47">
            <w:pPr>
              <w:widowControl w:val="0"/>
              <w:tabs>
                <w:tab w:val="left" w:pos="36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8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 этап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(склад готовой продукции) – 2021 - 2022 гг.;</w:t>
            </w:r>
          </w:p>
          <w:p w14:paraId="1C68B808" w14:textId="77777777" w:rsidR="00920717" w:rsidRDefault="006E58D8" w:rsidP="000C0445">
            <w:pPr>
              <w:widowControl w:val="0"/>
              <w:tabs>
                <w:tab w:val="left" w:pos="36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E58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 этап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АБК) –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2021 - 2022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1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4390F573" w14:textId="7C246CA4" w:rsidR="000C0445" w:rsidRPr="00EA5B3F" w:rsidRDefault="000C0445" w:rsidP="000C0445">
            <w:pPr>
              <w:widowControl w:val="0"/>
              <w:tabs>
                <w:tab w:val="left" w:pos="366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B25206F" w14:textId="77777777" w:rsidR="00920717" w:rsidRPr="00920717" w:rsidRDefault="00920717" w:rsidP="00920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20717" w:rsidRPr="00920717" w14:paraId="16CD5BCD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7B90249A" w14:textId="77777777" w:rsidR="00920717" w:rsidRPr="00920717" w:rsidRDefault="00112F58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897" w:type="pct"/>
            <w:shd w:val="clear" w:color="auto" w:fill="auto"/>
          </w:tcPr>
          <w:p w14:paraId="63D9273F" w14:textId="77777777" w:rsidR="00920717" w:rsidRPr="00920717" w:rsidRDefault="00920717" w:rsidP="000C0445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>наличие и достаточност</w:t>
            </w:r>
            <w:r w:rsidR="00EA5B3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 xml:space="preserve"> исходно - разрешительной, проектно - сметной и договорной документации по строительству, а также технических условий (ТУ) на подключение к объектам инженерной инфраструктуры, необходимых для завершения строительства и ввода объектов, входящих в состав Проекта, в эксплуатацию;</w:t>
            </w:r>
          </w:p>
          <w:p w14:paraId="1CC38D1B" w14:textId="77777777" w:rsidR="00920717" w:rsidRPr="00920717" w:rsidRDefault="00920717" w:rsidP="000C0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150909E5" w14:textId="77777777" w:rsidR="00920717" w:rsidRPr="00920717" w:rsidRDefault="00920717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B3F" w:rsidRPr="00920717" w14:paraId="2967FBAC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5F47977F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897" w:type="pct"/>
            <w:shd w:val="clear" w:color="auto" w:fill="auto"/>
          </w:tcPr>
          <w:p w14:paraId="588BBCAD" w14:textId="77777777" w:rsidR="00EA5B3F" w:rsidRDefault="00EA5B3F" w:rsidP="00EA5B3F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фактическое выполнение работ, услуг, поставки оборудования и других направлений затрат, предусмотренных Проектом, в сумме не менее 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br/>
              <w:t>10% Бюджета Проекта (совокупно по всем объектам Проекта)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3D21503" w14:textId="77777777" w:rsidR="00EA5B3F" w:rsidRPr="00920717" w:rsidRDefault="00EA5B3F" w:rsidP="00EA5B3F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D7CD79A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B3F" w:rsidRPr="00920717" w14:paraId="1CD5F676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152ECF54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897" w:type="pct"/>
            <w:shd w:val="clear" w:color="auto" w:fill="auto"/>
          </w:tcPr>
          <w:p w14:paraId="3FD474D3" w14:textId="550FE629" w:rsidR="00EA5B3F" w:rsidRDefault="00EA5B3F" w:rsidP="00EA5B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выполнение строительно-монтажных работ, осуществляемых в рамках реализации Проекта, в размере не менее 30% от суммы уплаченных </w:t>
            </w:r>
            <w:r w:rsidR="007A1B9D" w:rsidRPr="00EA5B3F">
              <w:rPr>
                <w:rFonts w:ascii="Times New Roman" w:hAnsi="Times New Roman" w:cs="Times New Roman"/>
                <w:sz w:val="16"/>
                <w:szCs w:val="16"/>
              </w:rPr>
              <w:t>Заемщиком авансов</w:t>
            </w:r>
            <w:r w:rsidRPr="00EA5B3F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строительно-монтажных работ по договору(-</w:t>
            </w:r>
            <w:proofErr w:type="spellStart"/>
            <w:r w:rsidRPr="00EA5B3F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proofErr w:type="spellEnd"/>
            <w:r w:rsidRPr="00EA5B3F">
              <w:rPr>
                <w:rFonts w:ascii="Times New Roman" w:hAnsi="Times New Roman" w:cs="Times New Roman"/>
                <w:sz w:val="16"/>
                <w:szCs w:val="16"/>
              </w:rPr>
              <w:t>) на выполнение строительно-монтажных работ;</w:t>
            </w:r>
          </w:p>
          <w:p w14:paraId="54929C0A" w14:textId="77777777" w:rsidR="00EA5B3F" w:rsidRPr="00EA5B3F" w:rsidRDefault="00EA5B3F" w:rsidP="00EA5B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17792039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B3F" w:rsidRPr="00920717" w14:paraId="32E3D847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575CD8D8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897" w:type="pct"/>
            <w:shd w:val="clear" w:color="auto" w:fill="auto"/>
          </w:tcPr>
          <w:p w14:paraId="1FF7B75A" w14:textId="2CF4C97C" w:rsidR="00EA5B3F" w:rsidRDefault="004D0709" w:rsidP="004D0709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709">
              <w:rPr>
                <w:rFonts w:ascii="Times New Roman" w:hAnsi="Times New Roman" w:cs="Times New Roman"/>
                <w:sz w:val="16"/>
                <w:szCs w:val="16"/>
              </w:rPr>
              <w:t>осуществление Заемщиком финансирования Проекта за счет собственного участия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размере </w:t>
            </w:r>
            <w:r w:rsidRPr="004D0709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E31C47" w:rsidRPr="00E31C47">
              <w:rPr>
                <w:rFonts w:ascii="Times New Roman" w:hAnsi="Times New Roman" w:cs="Times New Roman"/>
                <w:sz w:val="16"/>
                <w:szCs w:val="16"/>
              </w:rPr>
              <w:t>800 000 000 (восемьсот миллионов рублей),</w:t>
            </w:r>
            <w:r w:rsidRPr="00E31C47">
              <w:rPr>
                <w:rFonts w:ascii="Times New Roman" w:hAnsi="Times New Roman" w:cs="Times New Roman"/>
                <w:sz w:val="16"/>
                <w:szCs w:val="16"/>
              </w:rPr>
              <w:t xml:space="preserve"> но не менее 20% от Бюджета</w:t>
            </w:r>
            <w:r w:rsidRPr="00503A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D0709">
              <w:rPr>
                <w:rFonts w:ascii="Times New Roman" w:hAnsi="Times New Roman" w:cs="Times New Roman"/>
                <w:sz w:val="16"/>
                <w:szCs w:val="16"/>
              </w:rPr>
              <w:t>Проекта до даты первой выдачи кредитных средств по первой кредитной сделке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D41CC36" w14:textId="77777777" w:rsidR="004D0709" w:rsidRPr="00920717" w:rsidRDefault="00DA7836" w:rsidP="004D0709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Условия по собственному участию изложены в Приложении 8 к настоящему Техническому заданию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0442F9F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B3F" w:rsidRPr="00920717" w14:paraId="4D8C5B07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69ECFCBF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897" w:type="pct"/>
            <w:shd w:val="clear" w:color="auto" w:fill="auto"/>
          </w:tcPr>
          <w:p w14:paraId="43A92D3D" w14:textId="77777777" w:rsidR="00EA5B3F" w:rsidRPr="005A3B31" w:rsidRDefault="00EA5B3F" w:rsidP="005A3B31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>наличие действующего разрешения на строительство объектов, входящих в состав Проекта;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4C394EAF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B3F" w:rsidRPr="00920717" w14:paraId="47FE7D64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1C8CF203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897" w:type="pct"/>
            <w:shd w:val="clear" w:color="auto" w:fill="auto"/>
          </w:tcPr>
          <w:p w14:paraId="662D2817" w14:textId="77777777" w:rsidR="00EA5B3F" w:rsidRPr="005A3B31" w:rsidRDefault="00EA5B3F" w:rsidP="005A3B31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>достаточность суммы запрашиваемого кредита для завершения строительства и ввода объектов, входящих в состав Проекта,  в эксплуатацию;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D67F3BD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B3F" w:rsidRPr="00920717" w14:paraId="65C4771B" w14:textId="77777777" w:rsidTr="00920717">
        <w:trPr>
          <w:trHeight w:val="170"/>
        </w:trPr>
        <w:tc>
          <w:tcPr>
            <w:tcW w:w="1109" w:type="pct"/>
            <w:shd w:val="clear" w:color="auto" w:fill="auto"/>
            <w:vAlign w:val="center"/>
          </w:tcPr>
          <w:p w14:paraId="091D362E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2897" w:type="pct"/>
            <w:shd w:val="clear" w:color="auto" w:fill="auto"/>
          </w:tcPr>
          <w:p w14:paraId="40B435D0" w14:textId="77777777" w:rsidR="00EA5B3F" w:rsidRPr="005A3B31" w:rsidRDefault="00EA5B3F" w:rsidP="005A3B31">
            <w:pPr>
              <w:keepNext/>
              <w:keepLines/>
              <w:tabs>
                <w:tab w:val="left" w:pos="1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717">
              <w:rPr>
                <w:rFonts w:ascii="Times New Roman" w:hAnsi="Times New Roman" w:cs="Times New Roman"/>
                <w:sz w:val="16"/>
                <w:szCs w:val="16"/>
              </w:rPr>
              <w:t>соблюдение графиков производства и финансирования работ и их соответствия срокам реализации Проекта (допускается отставание от графика производства работ на срок не более чем 3 месяца с указанием причин отставания);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5C8141C1" w14:textId="77777777" w:rsidR="00EA5B3F" w:rsidRPr="00920717" w:rsidRDefault="00EA5B3F" w:rsidP="000C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3D1A3986" w14:textId="5DFD8A56" w:rsidR="009E43B0" w:rsidRDefault="009E43B0" w:rsidP="009E43B0">
      <w:pPr>
        <w:pStyle w:val="a3"/>
        <w:spacing w:before="120" w:after="120"/>
        <w:ind w:left="1069"/>
        <w:jc w:val="both"/>
        <w:rPr>
          <w:rFonts w:ascii="Times New Roman" w:hAnsi="Times New Roman" w:cs="Times New Roman"/>
        </w:rPr>
      </w:pPr>
    </w:p>
    <w:p w14:paraId="62B0DE1B" w14:textId="36459BFC" w:rsidR="007A1B9D" w:rsidRDefault="007A1B9D" w:rsidP="009E43B0">
      <w:pPr>
        <w:pStyle w:val="a3"/>
        <w:spacing w:before="120" w:after="120"/>
        <w:ind w:left="1069"/>
        <w:jc w:val="both"/>
        <w:rPr>
          <w:rFonts w:ascii="Times New Roman" w:hAnsi="Times New Roman" w:cs="Times New Roman"/>
        </w:rPr>
      </w:pPr>
    </w:p>
    <w:p w14:paraId="277DD4C9" w14:textId="2158EC60" w:rsidR="007A1B9D" w:rsidRDefault="007A1B9D" w:rsidP="009E43B0">
      <w:pPr>
        <w:pStyle w:val="a3"/>
        <w:spacing w:before="120" w:after="120"/>
        <w:ind w:left="1069"/>
        <w:jc w:val="both"/>
        <w:rPr>
          <w:rFonts w:ascii="Times New Roman" w:hAnsi="Times New Roman" w:cs="Times New Roman"/>
        </w:rPr>
      </w:pPr>
    </w:p>
    <w:p w14:paraId="321DA70B" w14:textId="77777777" w:rsidR="00E10B13" w:rsidRDefault="00482A24" w:rsidP="009E43B0">
      <w:pPr>
        <w:pStyle w:val="a3"/>
        <w:spacing w:before="120" w:after="120"/>
        <w:ind w:left="1069"/>
        <w:jc w:val="center"/>
        <w:rPr>
          <w:rFonts w:ascii="Times New Roman" w:hAnsi="Times New Roman" w:cs="Times New Roman"/>
          <w:b/>
        </w:rPr>
      </w:pPr>
      <w:r w:rsidRPr="009E43B0">
        <w:rPr>
          <w:rFonts w:ascii="Times New Roman" w:hAnsi="Times New Roman" w:cs="Times New Roman"/>
          <w:b/>
        </w:rPr>
        <w:t>Бюджет проекта</w:t>
      </w:r>
    </w:p>
    <w:p w14:paraId="7CE3FEEF" w14:textId="77777777" w:rsidR="000C0445" w:rsidRDefault="000C0445" w:rsidP="009E43B0">
      <w:pPr>
        <w:pStyle w:val="a3"/>
        <w:spacing w:before="120" w:after="120"/>
        <w:ind w:left="106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4983" w:type="pct"/>
        <w:tblLayout w:type="fixed"/>
        <w:tblLook w:val="04A0" w:firstRow="1" w:lastRow="0" w:firstColumn="1" w:lastColumn="0" w:noHBand="0" w:noVBand="1"/>
      </w:tblPr>
      <w:tblGrid>
        <w:gridCol w:w="5098"/>
        <w:gridCol w:w="1525"/>
        <w:gridCol w:w="1801"/>
        <w:gridCol w:w="1595"/>
      </w:tblGrid>
      <w:tr w:rsidR="00C628F2" w:rsidRPr="00C628F2" w14:paraId="59F8DB9F" w14:textId="77777777" w:rsidTr="00AB755F">
        <w:trPr>
          <w:trHeight w:val="170"/>
        </w:trPr>
        <w:tc>
          <w:tcPr>
            <w:tcW w:w="2544" w:type="pct"/>
            <w:vMerge w:val="restart"/>
            <w:hideMark/>
          </w:tcPr>
          <w:p w14:paraId="369E10E9" w14:textId="77777777" w:rsidR="00C628F2" w:rsidRPr="00C628F2" w:rsidRDefault="00C628F2" w:rsidP="000C0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8F2">
              <w:rPr>
                <w:rFonts w:ascii="Times New Roman" w:hAnsi="Times New Roman"/>
                <w:sz w:val="16"/>
                <w:szCs w:val="16"/>
              </w:rPr>
              <w:t>Наименование затрат</w:t>
            </w:r>
          </w:p>
        </w:tc>
        <w:tc>
          <w:tcPr>
            <w:tcW w:w="761" w:type="pct"/>
            <w:vMerge w:val="restart"/>
          </w:tcPr>
          <w:p w14:paraId="68FB9229" w14:textId="77777777" w:rsidR="00C628F2" w:rsidRPr="00C628F2" w:rsidRDefault="00C628F2" w:rsidP="000C0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8F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95" w:type="pct"/>
            <w:gridSpan w:val="2"/>
          </w:tcPr>
          <w:p w14:paraId="16230EBB" w14:textId="77777777" w:rsidR="00C628F2" w:rsidRPr="00C628F2" w:rsidRDefault="00C628F2" w:rsidP="000C0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8F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C628F2" w:rsidRPr="00C628F2" w14:paraId="1C7FAF1D" w14:textId="77777777" w:rsidTr="00AB755F">
        <w:trPr>
          <w:trHeight w:val="170"/>
        </w:trPr>
        <w:tc>
          <w:tcPr>
            <w:tcW w:w="2544" w:type="pct"/>
            <w:vMerge/>
            <w:hideMark/>
          </w:tcPr>
          <w:p w14:paraId="3B0E4BBD" w14:textId="77777777" w:rsidR="00C628F2" w:rsidRPr="00C628F2" w:rsidRDefault="00C628F2" w:rsidP="000C0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hideMark/>
          </w:tcPr>
          <w:p w14:paraId="2E7C577F" w14:textId="77777777" w:rsidR="00C628F2" w:rsidRPr="00C628F2" w:rsidRDefault="00C628F2" w:rsidP="000C0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pct"/>
          </w:tcPr>
          <w:p w14:paraId="733561B3" w14:textId="16C29BCF" w:rsidR="00C628F2" w:rsidRPr="00C628F2" w:rsidRDefault="006D2B61" w:rsidP="000C0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Заемщик</w:t>
            </w:r>
          </w:p>
        </w:tc>
        <w:tc>
          <w:tcPr>
            <w:tcW w:w="796" w:type="pct"/>
            <w:hideMark/>
          </w:tcPr>
          <w:p w14:paraId="61F20391" w14:textId="16CA2C09" w:rsidR="00C628F2" w:rsidRPr="00C628F2" w:rsidRDefault="006D2B61" w:rsidP="000C0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</w:t>
            </w:r>
          </w:p>
        </w:tc>
      </w:tr>
      <w:tr w:rsidR="00AB755F" w:rsidRPr="00C628F2" w14:paraId="2C6739B8" w14:textId="77777777" w:rsidTr="00AB755F">
        <w:trPr>
          <w:trHeight w:val="170"/>
        </w:trPr>
        <w:tc>
          <w:tcPr>
            <w:tcW w:w="2544" w:type="pct"/>
          </w:tcPr>
          <w:p w14:paraId="696DB26A" w14:textId="60B7547D" w:rsidR="00AB755F" w:rsidRPr="00AB755F" w:rsidRDefault="00AB755F" w:rsidP="00AB755F">
            <w:pPr>
              <w:ind w:right="-87"/>
              <w:rPr>
                <w:rFonts w:ascii="Times New Roman" w:hAnsi="Times New Roman"/>
                <w:b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оборудование по переработке молока по контракту с АО "</w:t>
            </w:r>
            <w:proofErr w:type="spellStart"/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ТетраПак</w:t>
            </w:r>
            <w:proofErr w:type="spellEnd"/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Е 17065</w:t>
            </w:r>
          </w:p>
        </w:tc>
        <w:tc>
          <w:tcPr>
            <w:tcW w:w="761" w:type="pct"/>
          </w:tcPr>
          <w:p w14:paraId="30628644" w14:textId="74311A85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230 651</w:t>
            </w:r>
          </w:p>
        </w:tc>
        <w:tc>
          <w:tcPr>
            <w:tcW w:w="899" w:type="pct"/>
          </w:tcPr>
          <w:p w14:paraId="4EC5BEE9" w14:textId="3972A857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pct"/>
          </w:tcPr>
          <w:p w14:paraId="1339D32E" w14:textId="6487631C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230 651</w:t>
            </w:r>
          </w:p>
        </w:tc>
      </w:tr>
      <w:tr w:rsidR="00AB755F" w:rsidRPr="00C628F2" w14:paraId="607E0E5C" w14:textId="77777777" w:rsidTr="00AB755F">
        <w:trPr>
          <w:trHeight w:val="170"/>
        </w:trPr>
        <w:tc>
          <w:tcPr>
            <w:tcW w:w="2544" w:type="pct"/>
          </w:tcPr>
          <w:p w14:paraId="2A50971B" w14:textId="3A66F95D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оборудование по переработке молока по контракту с АО "</w:t>
            </w:r>
            <w:proofErr w:type="spellStart"/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ТетраПак</w:t>
            </w:r>
            <w:proofErr w:type="spellEnd"/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Е 18047</w:t>
            </w:r>
          </w:p>
        </w:tc>
        <w:tc>
          <w:tcPr>
            <w:tcW w:w="761" w:type="pct"/>
            <w:noWrap/>
          </w:tcPr>
          <w:p w14:paraId="70C1A8D1" w14:textId="1B792826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647 014</w:t>
            </w:r>
          </w:p>
        </w:tc>
        <w:tc>
          <w:tcPr>
            <w:tcW w:w="899" w:type="pct"/>
          </w:tcPr>
          <w:p w14:paraId="50765B1A" w14:textId="0A1EC14E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pct"/>
            <w:noWrap/>
          </w:tcPr>
          <w:p w14:paraId="6791D3FA" w14:textId="36066CA0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647 014</w:t>
            </w:r>
          </w:p>
        </w:tc>
      </w:tr>
      <w:tr w:rsidR="00AB755F" w:rsidRPr="00C628F2" w14:paraId="604468A8" w14:textId="77777777" w:rsidTr="00AB755F">
        <w:trPr>
          <w:trHeight w:val="170"/>
        </w:trPr>
        <w:tc>
          <w:tcPr>
            <w:tcW w:w="2544" w:type="pct"/>
          </w:tcPr>
          <w:p w14:paraId="0F47678C" w14:textId="2A5AF789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Емкостное оборудование</w:t>
            </w:r>
          </w:p>
        </w:tc>
        <w:tc>
          <w:tcPr>
            <w:tcW w:w="761" w:type="pct"/>
            <w:noWrap/>
          </w:tcPr>
          <w:p w14:paraId="415C18BC" w14:textId="7ED70B99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152 409</w:t>
            </w:r>
          </w:p>
        </w:tc>
        <w:tc>
          <w:tcPr>
            <w:tcW w:w="899" w:type="pct"/>
          </w:tcPr>
          <w:p w14:paraId="052DCAF4" w14:textId="58CD4A40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9 104</w:t>
            </w:r>
          </w:p>
        </w:tc>
        <w:tc>
          <w:tcPr>
            <w:tcW w:w="796" w:type="pct"/>
            <w:noWrap/>
          </w:tcPr>
          <w:p w14:paraId="48CFA046" w14:textId="499CDF30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143 304</w:t>
            </w:r>
          </w:p>
        </w:tc>
      </w:tr>
      <w:tr w:rsidR="00AB755F" w:rsidRPr="00C628F2" w14:paraId="34561521" w14:textId="77777777" w:rsidTr="00AB755F">
        <w:trPr>
          <w:trHeight w:val="170"/>
        </w:trPr>
        <w:tc>
          <w:tcPr>
            <w:tcW w:w="2544" w:type="pct"/>
          </w:tcPr>
          <w:p w14:paraId="3B6FDCF5" w14:textId="665A07C9" w:rsidR="00AB755F" w:rsidRPr="00AB755F" w:rsidRDefault="00AB755F" w:rsidP="00AB755F">
            <w:pPr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оборудование по производству сухих молочных продуктов</w:t>
            </w:r>
          </w:p>
        </w:tc>
        <w:tc>
          <w:tcPr>
            <w:tcW w:w="761" w:type="pct"/>
            <w:noWrap/>
          </w:tcPr>
          <w:p w14:paraId="4D7C7A5F" w14:textId="26E99791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440 155</w:t>
            </w:r>
          </w:p>
        </w:tc>
        <w:tc>
          <w:tcPr>
            <w:tcW w:w="899" w:type="pct"/>
          </w:tcPr>
          <w:p w14:paraId="3B6F6069" w14:textId="410149DA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pct"/>
            <w:noWrap/>
          </w:tcPr>
          <w:p w14:paraId="3AD26414" w14:textId="31C3BB5B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440 155</w:t>
            </w:r>
          </w:p>
        </w:tc>
      </w:tr>
      <w:tr w:rsidR="00AB755F" w:rsidRPr="00C628F2" w14:paraId="1DC9E8F1" w14:textId="77777777" w:rsidTr="00AB755F">
        <w:trPr>
          <w:trHeight w:val="170"/>
        </w:trPr>
        <w:tc>
          <w:tcPr>
            <w:tcW w:w="2544" w:type="pct"/>
          </w:tcPr>
          <w:p w14:paraId="65755FDD" w14:textId="77611159" w:rsidR="00AB755F" w:rsidRPr="00AB755F" w:rsidRDefault="00AB755F" w:rsidP="00AB755F">
            <w:pPr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оборудование по производству масла сливочного</w:t>
            </w:r>
          </w:p>
        </w:tc>
        <w:tc>
          <w:tcPr>
            <w:tcW w:w="761" w:type="pct"/>
            <w:noWrap/>
          </w:tcPr>
          <w:p w14:paraId="62EB890F" w14:textId="61E3893A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181 325</w:t>
            </w:r>
          </w:p>
        </w:tc>
        <w:tc>
          <w:tcPr>
            <w:tcW w:w="899" w:type="pct"/>
          </w:tcPr>
          <w:p w14:paraId="00F5F43F" w14:textId="36B44801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181 325</w:t>
            </w:r>
          </w:p>
        </w:tc>
        <w:tc>
          <w:tcPr>
            <w:tcW w:w="796" w:type="pct"/>
            <w:noWrap/>
          </w:tcPr>
          <w:p w14:paraId="76A7C8A9" w14:textId="1DB0D089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B755F" w:rsidRPr="00C628F2" w14:paraId="53622E69" w14:textId="77777777" w:rsidTr="00AB755F">
        <w:trPr>
          <w:trHeight w:val="170"/>
        </w:trPr>
        <w:tc>
          <w:tcPr>
            <w:tcW w:w="2544" w:type="pct"/>
            <w:noWrap/>
          </w:tcPr>
          <w:p w14:paraId="75E26DE3" w14:textId="642430FB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складов</w:t>
            </w:r>
          </w:p>
        </w:tc>
        <w:tc>
          <w:tcPr>
            <w:tcW w:w="761" w:type="pct"/>
            <w:noWrap/>
          </w:tcPr>
          <w:p w14:paraId="0A9E9A26" w14:textId="5B77FF26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20 112</w:t>
            </w:r>
          </w:p>
        </w:tc>
        <w:tc>
          <w:tcPr>
            <w:tcW w:w="899" w:type="pct"/>
          </w:tcPr>
          <w:p w14:paraId="018C60E0" w14:textId="5B3BB10B" w:rsidR="00AB755F" w:rsidRPr="00AB755F" w:rsidRDefault="00AB755F" w:rsidP="006D2B61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r w:rsidR="006D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96" w:type="pct"/>
            <w:noWrap/>
          </w:tcPr>
          <w:p w14:paraId="016D2647" w14:textId="5C1799E8" w:rsidR="00AB755F" w:rsidRPr="00AB755F" w:rsidRDefault="006D2B61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</w:tr>
      <w:tr w:rsidR="00AB755F" w:rsidRPr="00C628F2" w14:paraId="30F0DED8" w14:textId="77777777" w:rsidTr="00AB755F">
        <w:trPr>
          <w:trHeight w:val="170"/>
        </w:trPr>
        <w:tc>
          <w:tcPr>
            <w:tcW w:w="2544" w:type="pct"/>
            <w:noWrap/>
          </w:tcPr>
          <w:p w14:paraId="31AE38C2" w14:textId="24752992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лаборатории</w:t>
            </w:r>
          </w:p>
        </w:tc>
        <w:tc>
          <w:tcPr>
            <w:tcW w:w="761" w:type="pct"/>
            <w:noWrap/>
          </w:tcPr>
          <w:p w14:paraId="03C44080" w14:textId="3DC87C23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17 520</w:t>
            </w:r>
          </w:p>
        </w:tc>
        <w:tc>
          <w:tcPr>
            <w:tcW w:w="899" w:type="pct"/>
          </w:tcPr>
          <w:p w14:paraId="1AEB0FB2" w14:textId="2B0EE3B0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6" w:type="pct"/>
            <w:noWrap/>
          </w:tcPr>
          <w:p w14:paraId="46C5E50C" w14:textId="74611160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17 520</w:t>
            </w:r>
          </w:p>
        </w:tc>
      </w:tr>
      <w:tr w:rsidR="00AB755F" w:rsidRPr="00C628F2" w14:paraId="30CCE3B2" w14:textId="77777777" w:rsidTr="00AB755F">
        <w:trPr>
          <w:trHeight w:val="170"/>
        </w:trPr>
        <w:tc>
          <w:tcPr>
            <w:tcW w:w="2544" w:type="pct"/>
            <w:noWrap/>
          </w:tcPr>
          <w:p w14:paraId="706C7E00" w14:textId="3C922B5C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Фасовочный автомат </w:t>
            </w:r>
            <w:proofErr w:type="spellStart"/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ТетраТоп</w:t>
            </w:r>
            <w:proofErr w:type="spellEnd"/>
          </w:p>
        </w:tc>
        <w:tc>
          <w:tcPr>
            <w:tcW w:w="761" w:type="pct"/>
            <w:noWrap/>
          </w:tcPr>
          <w:p w14:paraId="0D2AC5E8" w14:textId="4E963932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90 809</w:t>
            </w:r>
          </w:p>
        </w:tc>
        <w:tc>
          <w:tcPr>
            <w:tcW w:w="899" w:type="pct"/>
          </w:tcPr>
          <w:p w14:paraId="3CF70B28" w14:textId="186EFDB6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5 808</w:t>
            </w:r>
          </w:p>
        </w:tc>
        <w:tc>
          <w:tcPr>
            <w:tcW w:w="796" w:type="pct"/>
            <w:noWrap/>
          </w:tcPr>
          <w:p w14:paraId="6C73C802" w14:textId="4D8390C0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85 001</w:t>
            </w:r>
          </w:p>
        </w:tc>
      </w:tr>
      <w:tr w:rsidR="00AB755F" w:rsidRPr="00C628F2" w14:paraId="717E383A" w14:textId="77777777" w:rsidTr="00AB755F">
        <w:trPr>
          <w:trHeight w:val="170"/>
        </w:trPr>
        <w:tc>
          <w:tcPr>
            <w:tcW w:w="2544" w:type="pct"/>
            <w:noWrap/>
          </w:tcPr>
          <w:p w14:paraId="3F47FDF4" w14:textId="125BDDD8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для подготовки сыворотки</w:t>
            </w:r>
          </w:p>
        </w:tc>
        <w:tc>
          <w:tcPr>
            <w:tcW w:w="761" w:type="pct"/>
            <w:noWrap/>
          </w:tcPr>
          <w:p w14:paraId="47E64EC2" w14:textId="695A61FC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72 013</w:t>
            </w:r>
          </w:p>
        </w:tc>
        <w:tc>
          <w:tcPr>
            <w:tcW w:w="899" w:type="pct"/>
          </w:tcPr>
          <w:p w14:paraId="69684F80" w14:textId="5553809A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pct"/>
            <w:noWrap/>
          </w:tcPr>
          <w:p w14:paraId="61BED856" w14:textId="73FF00F3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72 013</w:t>
            </w:r>
          </w:p>
        </w:tc>
      </w:tr>
      <w:tr w:rsidR="00AB755F" w:rsidRPr="00C628F2" w14:paraId="683B7F97" w14:textId="77777777" w:rsidTr="00AB755F">
        <w:trPr>
          <w:trHeight w:val="170"/>
        </w:trPr>
        <w:tc>
          <w:tcPr>
            <w:tcW w:w="2544" w:type="pct"/>
            <w:noWrap/>
          </w:tcPr>
          <w:p w14:paraId="123FF2DF" w14:textId="28E5F858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Оборудование для фасовки масла сливочного </w:t>
            </w:r>
          </w:p>
        </w:tc>
        <w:tc>
          <w:tcPr>
            <w:tcW w:w="761" w:type="pct"/>
            <w:noWrap/>
          </w:tcPr>
          <w:p w14:paraId="3A551AC5" w14:textId="197519CB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62 108</w:t>
            </w:r>
          </w:p>
        </w:tc>
        <w:tc>
          <w:tcPr>
            <w:tcW w:w="899" w:type="pct"/>
          </w:tcPr>
          <w:p w14:paraId="6DF0D586" w14:textId="79C4A919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pct"/>
            <w:noWrap/>
          </w:tcPr>
          <w:p w14:paraId="4B3C6D57" w14:textId="4DB52D49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62 108</w:t>
            </w:r>
          </w:p>
        </w:tc>
      </w:tr>
      <w:tr w:rsidR="00AB755F" w:rsidRPr="00C628F2" w14:paraId="7414DC9D" w14:textId="77777777" w:rsidTr="00AB755F">
        <w:trPr>
          <w:trHeight w:val="170"/>
        </w:trPr>
        <w:tc>
          <w:tcPr>
            <w:tcW w:w="2544" w:type="pct"/>
            <w:noWrap/>
          </w:tcPr>
          <w:p w14:paraId="4D9AADA7" w14:textId="54E09ED3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оборудование по переработке молока по контракту с АО "</w:t>
            </w:r>
            <w:proofErr w:type="spellStart"/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ТетраПак</w:t>
            </w:r>
            <w:proofErr w:type="spellEnd"/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Е 18048</w:t>
            </w:r>
          </w:p>
        </w:tc>
        <w:tc>
          <w:tcPr>
            <w:tcW w:w="761" w:type="pct"/>
            <w:noWrap/>
          </w:tcPr>
          <w:p w14:paraId="4204CBCA" w14:textId="4839DDD1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101 397</w:t>
            </w:r>
          </w:p>
        </w:tc>
        <w:tc>
          <w:tcPr>
            <w:tcW w:w="899" w:type="pct"/>
          </w:tcPr>
          <w:p w14:paraId="4D0AE258" w14:textId="5A0F8AC9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pct"/>
            <w:noWrap/>
          </w:tcPr>
          <w:p w14:paraId="359A1B44" w14:textId="214C323D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101 397</w:t>
            </w:r>
          </w:p>
        </w:tc>
      </w:tr>
      <w:tr w:rsidR="00AB755F" w:rsidRPr="00C628F2" w14:paraId="42FB2113" w14:textId="77777777" w:rsidTr="00AB755F">
        <w:trPr>
          <w:trHeight w:val="170"/>
        </w:trPr>
        <w:tc>
          <w:tcPr>
            <w:tcW w:w="2544" w:type="pct"/>
            <w:noWrap/>
          </w:tcPr>
          <w:p w14:paraId="3BA8C58C" w14:textId="0C109768" w:rsidR="00AB755F" w:rsidRPr="00AB755F" w:rsidRDefault="00AB755F" w:rsidP="00AB75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и ремонтные работы, инженерные сети</w:t>
            </w:r>
          </w:p>
        </w:tc>
        <w:tc>
          <w:tcPr>
            <w:tcW w:w="761" w:type="pct"/>
            <w:noWrap/>
          </w:tcPr>
          <w:p w14:paraId="54AF5A3C" w14:textId="738D1A70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842 733</w:t>
            </w:r>
          </w:p>
        </w:tc>
        <w:tc>
          <w:tcPr>
            <w:tcW w:w="899" w:type="pct"/>
          </w:tcPr>
          <w:p w14:paraId="6625897C" w14:textId="2A998A11" w:rsidR="00AB755F" w:rsidRPr="00AB755F" w:rsidRDefault="00AB755F" w:rsidP="006D2B61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592 </w:t>
            </w:r>
            <w:r w:rsidR="006D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796" w:type="pct"/>
            <w:noWrap/>
          </w:tcPr>
          <w:p w14:paraId="49184425" w14:textId="731C4694" w:rsidR="00AB755F" w:rsidRPr="00AB755F" w:rsidRDefault="006D2B61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</w:tr>
      <w:tr w:rsidR="00AB755F" w:rsidRPr="00C628F2" w14:paraId="26DE6AEF" w14:textId="77777777" w:rsidTr="00AB755F">
        <w:trPr>
          <w:trHeight w:val="170"/>
        </w:trPr>
        <w:tc>
          <w:tcPr>
            <w:tcW w:w="2544" w:type="pct"/>
            <w:noWrap/>
          </w:tcPr>
          <w:p w14:paraId="3730A361" w14:textId="1B5DB5D4" w:rsidR="00AB755F" w:rsidRPr="00AB755F" w:rsidRDefault="00AB755F" w:rsidP="00AB75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  </w:t>
            </w:r>
          </w:p>
        </w:tc>
        <w:tc>
          <w:tcPr>
            <w:tcW w:w="761" w:type="pct"/>
            <w:noWrap/>
          </w:tcPr>
          <w:p w14:paraId="5FF89308" w14:textId="77777777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</w:tcPr>
          <w:p w14:paraId="5E2D8F18" w14:textId="77777777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noWrap/>
          </w:tcPr>
          <w:p w14:paraId="14D768DC" w14:textId="77777777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B61" w:rsidRPr="00C628F2" w14:paraId="163F09E1" w14:textId="77777777" w:rsidTr="00AB755F">
        <w:trPr>
          <w:trHeight w:val="170"/>
        </w:trPr>
        <w:tc>
          <w:tcPr>
            <w:tcW w:w="2544" w:type="pct"/>
            <w:noWrap/>
          </w:tcPr>
          <w:p w14:paraId="3DB91057" w14:textId="17202187" w:rsidR="006D2B61" w:rsidRPr="00AB755F" w:rsidRDefault="006D2B61" w:rsidP="006D2B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Склад упаковки</w:t>
            </w:r>
          </w:p>
        </w:tc>
        <w:tc>
          <w:tcPr>
            <w:tcW w:w="761" w:type="pct"/>
            <w:noWrap/>
          </w:tcPr>
          <w:p w14:paraId="7FB4B850" w14:textId="15136A13" w:rsidR="006D2B61" w:rsidRPr="00AB755F" w:rsidRDefault="006D2B61" w:rsidP="006D2B61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48 607</w:t>
            </w:r>
          </w:p>
        </w:tc>
        <w:tc>
          <w:tcPr>
            <w:tcW w:w="899" w:type="pct"/>
          </w:tcPr>
          <w:p w14:paraId="530FC5AE" w14:textId="1DB188EA" w:rsidR="006D2B61" w:rsidRPr="00AB755F" w:rsidRDefault="006D2B61" w:rsidP="006D2B61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48 607</w:t>
            </w:r>
          </w:p>
        </w:tc>
        <w:tc>
          <w:tcPr>
            <w:tcW w:w="796" w:type="pct"/>
            <w:noWrap/>
          </w:tcPr>
          <w:p w14:paraId="1F1F7E5A" w14:textId="6D34F904" w:rsidR="006D2B61" w:rsidRPr="00AB755F" w:rsidRDefault="006D2B61" w:rsidP="006D2B61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B61" w:rsidRPr="00C628F2" w14:paraId="1164E823" w14:textId="77777777" w:rsidTr="00AB755F">
        <w:trPr>
          <w:trHeight w:val="170"/>
        </w:trPr>
        <w:tc>
          <w:tcPr>
            <w:tcW w:w="2544" w:type="pct"/>
            <w:noWrap/>
          </w:tcPr>
          <w:p w14:paraId="0B6AC5A6" w14:textId="46B2F423" w:rsidR="006D2B61" w:rsidRPr="00AB755F" w:rsidRDefault="006D2B61" w:rsidP="006D2B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 этап строительства</w:t>
            </w:r>
          </w:p>
        </w:tc>
        <w:tc>
          <w:tcPr>
            <w:tcW w:w="761" w:type="pct"/>
            <w:noWrap/>
          </w:tcPr>
          <w:p w14:paraId="1A2D1AAB" w14:textId="24D91858" w:rsidR="006D2B61" w:rsidRPr="00AB755F" w:rsidRDefault="006D2B61" w:rsidP="006D2B61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178 968</w:t>
            </w:r>
          </w:p>
        </w:tc>
        <w:tc>
          <w:tcPr>
            <w:tcW w:w="899" w:type="pct"/>
          </w:tcPr>
          <w:p w14:paraId="4F64CFC9" w14:textId="4DE03EAB" w:rsidR="006D2B61" w:rsidRPr="00AB755F" w:rsidRDefault="006D2B61" w:rsidP="006D2B61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178 968</w:t>
            </w:r>
          </w:p>
        </w:tc>
        <w:tc>
          <w:tcPr>
            <w:tcW w:w="796" w:type="pct"/>
            <w:noWrap/>
          </w:tcPr>
          <w:p w14:paraId="69843EAA" w14:textId="24420C09" w:rsidR="006D2B61" w:rsidRPr="00AB755F" w:rsidRDefault="006D2B61" w:rsidP="006D2B61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55F" w:rsidRPr="00C628F2" w14:paraId="24027793" w14:textId="77777777" w:rsidTr="00AB755F">
        <w:trPr>
          <w:trHeight w:val="170"/>
        </w:trPr>
        <w:tc>
          <w:tcPr>
            <w:tcW w:w="2544" w:type="pct"/>
            <w:noWrap/>
          </w:tcPr>
          <w:p w14:paraId="672A3B2A" w14:textId="5A4CB01D" w:rsidR="00AB755F" w:rsidRPr="00AB755F" w:rsidRDefault="00AB755F" w:rsidP="00AB75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 этап строительства</w:t>
            </w:r>
          </w:p>
        </w:tc>
        <w:tc>
          <w:tcPr>
            <w:tcW w:w="761" w:type="pct"/>
            <w:noWrap/>
          </w:tcPr>
          <w:p w14:paraId="5A2C99CA" w14:textId="64EF233B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310 325</w:t>
            </w:r>
          </w:p>
        </w:tc>
        <w:tc>
          <w:tcPr>
            <w:tcW w:w="899" w:type="pct"/>
          </w:tcPr>
          <w:p w14:paraId="7C14CAEC" w14:textId="297BC0D0" w:rsidR="00AB755F" w:rsidRPr="00AB755F" w:rsidRDefault="006D2B61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160 325</w:t>
            </w:r>
          </w:p>
        </w:tc>
        <w:tc>
          <w:tcPr>
            <w:tcW w:w="796" w:type="pct"/>
            <w:noWrap/>
          </w:tcPr>
          <w:p w14:paraId="44B9B931" w14:textId="797E528C" w:rsidR="00AB755F" w:rsidRPr="00AB755F" w:rsidRDefault="006D2B61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AB755F" w:rsidRPr="00C628F2" w14:paraId="31E8A853" w14:textId="77777777" w:rsidTr="00AB755F">
        <w:trPr>
          <w:trHeight w:val="170"/>
        </w:trPr>
        <w:tc>
          <w:tcPr>
            <w:tcW w:w="2544" w:type="pct"/>
            <w:noWrap/>
          </w:tcPr>
          <w:p w14:paraId="68F2B0B1" w14:textId="4B0D3ABA" w:rsidR="00AB755F" w:rsidRPr="00AB755F" w:rsidRDefault="00AB755F" w:rsidP="00AB75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3 этап строительства</w:t>
            </w:r>
          </w:p>
        </w:tc>
        <w:tc>
          <w:tcPr>
            <w:tcW w:w="761" w:type="pct"/>
            <w:noWrap/>
          </w:tcPr>
          <w:p w14:paraId="41716652" w14:textId="45277E27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155 770</w:t>
            </w:r>
          </w:p>
        </w:tc>
        <w:tc>
          <w:tcPr>
            <w:tcW w:w="899" w:type="pct"/>
          </w:tcPr>
          <w:p w14:paraId="366F2078" w14:textId="0BA0B140" w:rsidR="00AB755F" w:rsidRPr="00AB755F" w:rsidRDefault="006D2B61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55 770</w:t>
            </w:r>
          </w:p>
        </w:tc>
        <w:tc>
          <w:tcPr>
            <w:tcW w:w="796" w:type="pct"/>
            <w:noWrap/>
          </w:tcPr>
          <w:p w14:paraId="603D7CC6" w14:textId="4F2A6BF0" w:rsidR="00AB755F" w:rsidRPr="00AB755F" w:rsidRDefault="006D2B61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AB755F" w:rsidRPr="00C628F2" w14:paraId="15DD1F19" w14:textId="77777777" w:rsidTr="00AB755F">
        <w:trPr>
          <w:trHeight w:val="170"/>
        </w:trPr>
        <w:tc>
          <w:tcPr>
            <w:tcW w:w="2544" w:type="pct"/>
            <w:noWrap/>
          </w:tcPr>
          <w:p w14:paraId="458E3D50" w14:textId="0B1DE10C" w:rsidR="00AB755F" w:rsidRPr="00AB755F" w:rsidRDefault="00AB755F" w:rsidP="00AB75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4 этап строительства (зона фасовки)</w:t>
            </w:r>
          </w:p>
        </w:tc>
        <w:tc>
          <w:tcPr>
            <w:tcW w:w="761" w:type="pct"/>
            <w:noWrap/>
          </w:tcPr>
          <w:p w14:paraId="7CD2F2A3" w14:textId="171F7157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55 323</w:t>
            </w:r>
          </w:p>
        </w:tc>
        <w:tc>
          <w:tcPr>
            <w:tcW w:w="899" w:type="pct"/>
          </w:tcPr>
          <w:p w14:paraId="43B3497B" w14:textId="2EBC94E1" w:rsidR="00AB755F" w:rsidRPr="00AB755F" w:rsidRDefault="006D2B61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55 323</w:t>
            </w:r>
          </w:p>
        </w:tc>
        <w:tc>
          <w:tcPr>
            <w:tcW w:w="796" w:type="pct"/>
            <w:noWrap/>
          </w:tcPr>
          <w:p w14:paraId="5016CDAC" w14:textId="77777777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55F" w:rsidRPr="00C628F2" w14:paraId="09D45A84" w14:textId="77777777" w:rsidTr="00AB755F">
        <w:trPr>
          <w:trHeight w:val="170"/>
        </w:trPr>
        <w:tc>
          <w:tcPr>
            <w:tcW w:w="2544" w:type="pct"/>
            <w:noWrap/>
          </w:tcPr>
          <w:p w14:paraId="5EFEACDD" w14:textId="29F49EAF" w:rsidR="00AB755F" w:rsidRPr="00AB755F" w:rsidRDefault="00AB755F" w:rsidP="00AB75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 (проектирование, благоустройство)</w:t>
            </w:r>
          </w:p>
        </w:tc>
        <w:tc>
          <w:tcPr>
            <w:tcW w:w="761" w:type="pct"/>
            <w:noWrap/>
          </w:tcPr>
          <w:p w14:paraId="6B3A8F9F" w14:textId="2F301C31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93 740</w:t>
            </w:r>
          </w:p>
        </w:tc>
        <w:tc>
          <w:tcPr>
            <w:tcW w:w="899" w:type="pct"/>
          </w:tcPr>
          <w:p w14:paraId="40A4B1D6" w14:textId="13A85129" w:rsidR="00AB755F" w:rsidRPr="00AB755F" w:rsidRDefault="006D2B61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93 740</w:t>
            </w:r>
          </w:p>
        </w:tc>
        <w:tc>
          <w:tcPr>
            <w:tcW w:w="796" w:type="pct"/>
            <w:noWrap/>
          </w:tcPr>
          <w:p w14:paraId="094727F3" w14:textId="77777777" w:rsidR="00AB755F" w:rsidRPr="00AB755F" w:rsidRDefault="00AB755F" w:rsidP="00AB755F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55F" w:rsidRPr="00C628F2" w14:paraId="6792760E" w14:textId="77777777" w:rsidTr="00AB755F">
        <w:trPr>
          <w:trHeight w:val="170"/>
        </w:trPr>
        <w:tc>
          <w:tcPr>
            <w:tcW w:w="2544" w:type="pct"/>
            <w:noWrap/>
          </w:tcPr>
          <w:p w14:paraId="5F6055DD" w14:textId="665F1D7E" w:rsidR="00AB755F" w:rsidRPr="00AB755F" w:rsidRDefault="00AB755F" w:rsidP="00AB755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61" w:type="pct"/>
            <w:noWrap/>
          </w:tcPr>
          <w:p w14:paraId="0DCAEF9B" w14:textId="69FB6129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2 858 246</w:t>
            </w:r>
          </w:p>
        </w:tc>
        <w:tc>
          <w:tcPr>
            <w:tcW w:w="899" w:type="pct"/>
          </w:tcPr>
          <w:p w14:paraId="3D56CB80" w14:textId="722665C8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808 246</w:t>
            </w:r>
          </w:p>
        </w:tc>
        <w:tc>
          <w:tcPr>
            <w:tcW w:w="796" w:type="pct"/>
            <w:noWrap/>
          </w:tcPr>
          <w:p w14:paraId="45C9BE33" w14:textId="461B946E" w:rsidR="00AB755F" w:rsidRPr="00AB755F" w:rsidRDefault="00AB755F" w:rsidP="00AB755F">
            <w:pPr>
              <w:ind w:right="-1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7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2 050 000</w:t>
            </w:r>
          </w:p>
        </w:tc>
      </w:tr>
    </w:tbl>
    <w:p w14:paraId="5F9F62E8" w14:textId="77777777" w:rsidR="009E43B0" w:rsidRDefault="00B321CF" w:rsidP="00482A24">
      <w:pPr>
        <w:spacing w:before="240" w:after="120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Технико</w:t>
      </w:r>
      <w:proofErr w:type="spellEnd"/>
      <w:r>
        <w:rPr>
          <w:rFonts w:ascii="Times New Roman" w:hAnsi="Times New Roman" w:cs="Times New Roman"/>
          <w:b/>
        </w:rPr>
        <w:t>–экономические параметры Проекта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2693"/>
      </w:tblGrid>
      <w:tr w:rsidR="006761EF" w:rsidRPr="006761EF" w14:paraId="7C18F8CD" w14:textId="77777777" w:rsidTr="003C07A6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9BC" w14:textId="77777777" w:rsidR="006761EF" w:rsidRPr="006761EF" w:rsidRDefault="006761EF" w:rsidP="000C0445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1E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объектов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08A" w14:textId="77777777" w:rsidR="006761EF" w:rsidRPr="006761EF" w:rsidRDefault="006761EF" w:rsidP="000C0445">
            <w:pPr>
              <w:spacing w:after="0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1EF">
              <w:rPr>
                <w:rFonts w:ascii="Times New Roman" w:hAnsi="Times New Roman" w:cs="Times New Roman"/>
                <w:sz w:val="16"/>
                <w:szCs w:val="16"/>
              </w:rPr>
              <w:t>Общая площадь (м2)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485" w14:textId="77777777" w:rsidR="006761EF" w:rsidRPr="006761EF" w:rsidRDefault="006761EF" w:rsidP="000C0445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1EF">
              <w:rPr>
                <w:rFonts w:ascii="Times New Roman" w:hAnsi="Times New Roman" w:cs="Times New Roman"/>
                <w:sz w:val="16"/>
                <w:szCs w:val="16"/>
              </w:rPr>
              <w:t>Производственная 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765" w14:textId="77777777" w:rsidR="006761EF" w:rsidRPr="006761EF" w:rsidRDefault="006761EF" w:rsidP="000C0445">
            <w:pPr>
              <w:spacing w:after="0"/>
              <w:ind w:firstLine="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1EF">
              <w:rPr>
                <w:rFonts w:ascii="Times New Roman" w:hAnsi="Times New Roman" w:cs="Times New Roman"/>
                <w:sz w:val="16"/>
                <w:szCs w:val="16"/>
              </w:rPr>
              <w:t>Месторасположение и кадастровый номер участка</w:t>
            </w:r>
          </w:p>
        </w:tc>
      </w:tr>
      <w:tr w:rsidR="00C9485E" w:rsidRPr="006761EF" w14:paraId="400B4E86" w14:textId="77777777" w:rsidTr="000C0445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BE1" w14:textId="57EFCD00" w:rsidR="00C9485E" w:rsidRPr="006761EF" w:rsidRDefault="00C9485E" w:rsidP="006761EF">
            <w:pPr>
              <w:numPr>
                <w:ilvl w:val="0"/>
                <w:numId w:val="4"/>
              </w:numPr>
              <w:overflowPunct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Склад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56DF" w14:textId="12554048" w:rsidR="00C9485E" w:rsidRPr="006761EF" w:rsidRDefault="00C9485E" w:rsidP="00A60CC1">
            <w:pPr>
              <w:spacing w:after="0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88493" w14:textId="7EF56E69" w:rsidR="00C9485E" w:rsidRPr="006761EF" w:rsidRDefault="00C9485E" w:rsidP="00E63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по переработке молока 535 т/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1E2" w14:textId="77777777" w:rsidR="00463C75" w:rsidRPr="00463C75" w:rsidRDefault="00C9485E" w:rsidP="00463C75">
            <w:pPr>
              <w:spacing w:after="0"/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761EF"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A2599D">
              <w:rPr>
                <w:rFonts w:ascii="Times New Roman" w:hAnsi="Times New Roman" w:cs="Times New Roman"/>
                <w:sz w:val="16"/>
                <w:szCs w:val="16"/>
              </w:rPr>
              <w:t>Вологодская обл., г. Грязовец, ул. Соколовская, д. 59</w:t>
            </w:r>
            <w:r w:rsidRPr="006761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63C75">
              <w:rPr>
                <w:rFonts w:ascii="Times New Roman" w:hAnsi="Times New Roman" w:cs="Times New Roman"/>
                <w:sz w:val="16"/>
                <w:szCs w:val="16"/>
              </w:rPr>
              <w:t>Кадастровый номер:</w:t>
            </w:r>
          </w:p>
          <w:p w14:paraId="2EC7BF86" w14:textId="36B5EFD9" w:rsidR="00C9485E" w:rsidRPr="006761EF" w:rsidRDefault="00463C75" w:rsidP="00463C75">
            <w:pPr>
              <w:spacing w:after="0"/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63C75">
              <w:rPr>
                <w:rFonts w:ascii="Times New Roman" w:hAnsi="Times New Roman" w:cs="Times New Roman"/>
                <w:sz w:val="16"/>
                <w:szCs w:val="16"/>
              </w:rPr>
              <w:t>35:28:0404004:225</w:t>
            </w:r>
          </w:p>
        </w:tc>
      </w:tr>
      <w:tr w:rsidR="00C9485E" w:rsidRPr="006761EF" w14:paraId="551FA4E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322A" w14:textId="46BEB75A" w:rsidR="00C9485E" w:rsidRPr="00A60CC1" w:rsidRDefault="00C9485E" w:rsidP="00A60CC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этап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33AD" w14:textId="6B8FCBF1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316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885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99DF103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080E" w14:textId="7CAA91C3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приемки / мойки молоковозов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E364" w14:textId="7BD0E1BE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5927" w14:textId="3DF539C0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7AD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45A9A9C4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FD67" w14:textId="50D975E0" w:rsidR="00C9485E" w:rsidRPr="00A2599D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3F25" w14:textId="5ACBFE72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968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E1E4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81D766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429" w14:textId="2D3B3640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хранения сырых сливок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FED" w14:textId="5D85CD09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A86E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5BED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5A37A3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F98A" w14:textId="0BDD3316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хранения пастеризованных сливок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FF12" w14:textId="176E2F1B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2A81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651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31674A6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1458" w14:textId="69D484D1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ингредиентов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5E12" w14:textId="0E572AE5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93CF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39AC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0F9748A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A782" w14:textId="73D7465C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D895" w14:textId="6073D271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8200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AD8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3F993D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70D" w14:textId="1860B29B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Сан. пропускник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AC9F" w14:textId="07FECFEA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3DD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98E7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4A62AC5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C633" w14:textId="517E8E3F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Маслоцех. Производство масла.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7942" w14:textId="13854F44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8D95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2DE0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6C7414D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A78C" w14:textId="57E19896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Маслоцех. Групповая упаковка коробки.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AD3" w14:textId="6BD7171A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140,67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F01A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1499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43FB509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E12D" w14:textId="20695235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закалки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70E9" w14:textId="0AA4E8FA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7443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EB1A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66AEB5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DBC8" w14:textId="7C6C9E2A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обслуживания клапанов гребенки сырого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354" w14:textId="40281094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3807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E91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18F65844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B98" w14:textId="3C51098A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хранения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3526" w14:textId="1CDD1BF4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11B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FB88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6204FE3F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2A4C" w14:textId="3F6E8F43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дефростации монолита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8A51" w14:textId="3D08CDCF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DB2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F4F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B71CCD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2782" w14:textId="57B6E1A6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Лаборатория приемки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835E" w14:textId="5B646CA6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5828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DA68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7545AA1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6FF7" w14:textId="347AE99B" w:rsidR="00C9485E" w:rsidRPr="005C5588" w:rsidRDefault="00C9485E" w:rsidP="005C558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5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этап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4327" w14:textId="77777777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02B7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E42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3419E63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EB58" w14:textId="410B7F6A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5C85" w14:textId="1512E32C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414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D454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3EAA481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3F21" w14:textId="700F41F6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кладовщиков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876" w14:textId="48192CDD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77AF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2C9F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693152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AADB" w14:textId="26477B2E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Загрузка/разгрузка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5FC4" w14:textId="0F251F0F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8B43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77DD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60702D5D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8D2" w14:textId="21ABA548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08ED" w14:textId="47DD8F18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110,69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30A9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7E97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14A4DDF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0B66" w14:textId="6CB52C1A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C46" w14:textId="5E0EB0FE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8990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34E0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1C199AC9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FC5" w14:textId="439F1FFE" w:rsidR="00C9485E" w:rsidRPr="005C5588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870C" w14:textId="59539C87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37" w14:textId="03B55172" w:rsidR="00C9485E" w:rsidRPr="006761EF" w:rsidRDefault="00C9485E" w:rsidP="00A60CC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D11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A875AF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E10C" w14:textId="34E87337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3C89" w14:textId="59611571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FEE" w14:textId="5E023BF5" w:rsidR="00C9485E" w:rsidRPr="006761EF" w:rsidRDefault="00C9485E" w:rsidP="00A60CC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756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284FFD2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B5F0" w14:textId="21F8F254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 пропускник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6380" w14:textId="08ADC3F1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886" w14:textId="16C31307" w:rsidR="00C9485E" w:rsidRPr="006761EF" w:rsidRDefault="00C9485E" w:rsidP="00A60CC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146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4399298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E745" w14:textId="4379272E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Воздушная компрессорная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0817" w14:textId="70CDE36A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1729" w14:textId="54BDB208" w:rsidR="00C9485E" w:rsidRPr="006761EF" w:rsidRDefault="00C9485E" w:rsidP="00A60CC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5F4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ED0ABC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EA01" w14:textId="6E60355D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0A11" w14:textId="3F040288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28FC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A4C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6CFE080D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6C8" w14:textId="5E440297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F087" w14:textId="3DC7971C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408,68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26EA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9781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673960B4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D2E8" w14:textId="2D3D094F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Смесевая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F59C" w14:textId="1BE91206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27A8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489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44817B8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76E" w14:textId="7D3B517C" w:rsidR="00C9485E" w:rsidRPr="006761EF" w:rsidRDefault="00C9485E" w:rsidP="005C558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Фасовка творога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A8DC" w14:textId="4F63506B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FF13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F1B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64227279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976" w14:textId="217015B9" w:rsidR="00C9485E" w:rsidRPr="006761EF" w:rsidRDefault="00C9485E" w:rsidP="005C5588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 охлаждения творога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188" w14:textId="2D086087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3D4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96A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3043305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A4A" w14:textId="7783DD24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Производство глаз. сырков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F5CD" w14:textId="6F4BA78E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129,67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86CC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2B55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C6367B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A2B" w14:textId="530CAF8F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 для наведения смесей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AE47" w14:textId="17FF32C4" w:rsidR="00C9485E" w:rsidRPr="005C5588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C0E5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8A1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C30F99B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C1CD" w14:textId="3B922306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CC03" w14:textId="6B4510FF" w:rsidR="00C9485E" w:rsidRPr="005C5588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505B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E8D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E1CB7A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75BE" w14:textId="3161DF1F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9FA" w14:textId="1DF534D7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808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4D4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1371B33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6091" w14:textId="5C1FCE19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32C" w14:textId="327A0550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4B90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BAD3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4D09CC11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589A" w14:textId="65AFAF87" w:rsidR="00C9485E" w:rsidRPr="006761EF" w:rsidRDefault="00C9485E" w:rsidP="00A60CC1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0D7F" w14:textId="6FCDF08F" w:rsidR="00C9485E" w:rsidRPr="006761EF" w:rsidRDefault="00C9485E" w:rsidP="00A60CC1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9D25" w14:textId="77777777" w:rsidR="00C9485E" w:rsidRPr="006761EF" w:rsidRDefault="00C9485E" w:rsidP="00A60CC1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6BE" w14:textId="77777777" w:rsidR="00C9485E" w:rsidRPr="006761EF" w:rsidRDefault="00C9485E" w:rsidP="00A60CC1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E79E39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883D" w14:textId="01AC3398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A65" w14:textId="34B4576A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AF1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E683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84D7C3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F3F2" w14:textId="18BE878A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775" w14:textId="0A0E0599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2459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6A28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563AC3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05CD" w14:textId="4EB17736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17482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7AFD" w14:textId="0FEC5939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1CDE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C22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8BBB20E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6B9E" w14:textId="0937409E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17482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C94" w14:textId="327332B4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BBE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08F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6547CA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9056" w14:textId="27B69364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17482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780" w14:textId="147C1925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3E53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22A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ABA892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2C59" w14:textId="2ED9C2AB" w:rsidR="00C9485E" w:rsidRPr="001F1AEB" w:rsidRDefault="00C9485E" w:rsidP="001F1AE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1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этап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1AC9" w14:textId="3FD789DD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83A9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0F0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5F3E26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F68" w14:textId="7AD7A1D5" w:rsidR="00C9485E" w:rsidRPr="003D1F22" w:rsidRDefault="00C9485E" w:rsidP="003D1F2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7AE5" w14:textId="77777777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9589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634A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140484CD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59D9" w14:textId="6F1DB111" w:rsidR="00C9485E" w:rsidRPr="00003D38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A476" w14:textId="7748DDEB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196A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31F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398E633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E0C4" w14:textId="004CFCCC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Мастерская ОГМ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051" w14:textId="51072700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7759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6C97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164080B2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7DF7" w14:textId="702CD4D0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Кладовая запчастей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2A8C" w14:textId="5D22BCE6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1113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0C67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674D13D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1476" w14:textId="5B0620FA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розлива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45B" w14:textId="4A148662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791,28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D775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7987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8B320D5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4112" w14:textId="0D6D5F39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Подача гранул и крышек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2EC5" w14:textId="59E5E31A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3699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6F50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852642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1A05" w14:textId="040ECF22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упаковки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2E7F" w14:textId="5D88682C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A191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12F1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41E27F4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5912" w14:textId="0DCCF11C" w:rsidR="00C9485E" w:rsidRPr="006761EF" w:rsidRDefault="00C9485E" w:rsidP="000A32BD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Охлаждаемая камера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BCF7" w14:textId="31CE4509" w:rsidR="00C9485E" w:rsidRPr="006761EF" w:rsidRDefault="00C9485E" w:rsidP="000A32BD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16C4" w14:textId="77777777" w:rsidR="00C9485E" w:rsidRPr="006761EF" w:rsidRDefault="00C9485E" w:rsidP="000A32BD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182D" w14:textId="77777777" w:rsidR="00C9485E" w:rsidRPr="006761EF" w:rsidRDefault="00C9485E" w:rsidP="000A32BD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F069B1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2E8" w14:textId="055DEDBB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Охлаждаемая камера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FA27" w14:textId="61F8D4D4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62AA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EBF3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27FD8A4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5D92" w14:textId="31139E1F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Охлаждаемая камера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8A66" w14:textId="1BBC5583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3528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3205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286CF6B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5E09" w14:textId="1676FB83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3DD6" w14:textId="03C29719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07EA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9FA8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5E3F96B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A9C" w14:textId="113A6C54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сухого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6CCD" w14:textId="0DEA5309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380,64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F786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9DAD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FA2A94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4A58" w14:textId="4B7FC82D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CC43" w14:textId="14759F32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0C50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16F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5E0D31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12D" w14:textId="6CE0691F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фасовки сухого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63DF" w14:textId="2362D179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3B0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3130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B01F6C9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CF92" w14:textId="7CD473EE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Хранение концентрированных растворов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2FA" w14:textId="58B11930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199E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901A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764150CA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B54" w14:textId="515F158E" w:rsidR="00C9485E" w:rsidRPr="003D1F22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мойка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DD98" w14:textId="6E46A8D9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CF3C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016B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0BD486A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DB1F" w14:textId="4E42D835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 сушки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FEAB" w14:textId="5B18D98E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A7C1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9BD0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9B23B9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B8CB" w14:textId="66FC97A4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 сушки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27EE" w14:textId="5E780389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8350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A8F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4AE12C5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C8F4" w14:textId="3609E462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переработки сыворотки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BDB" w14:textId="2A2FADAE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130,36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B169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379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F4FAF2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C45" w14:textId="59C9E351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 сгущения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918B" w14:textId="09C81EDD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453,37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72B6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9BA4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1AD34405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CC72" w14:textId="69D64F4B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Существующие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1A16" w14:textId="78BF52B3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4AF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4643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9E6DB61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CDC0" w14:textId="66035952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+3.400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1776" w14:textId="77777777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0C78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2227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AE7AF3E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B4EC" w14:textId="3F69E200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A7E" w14:textId="50E25DB1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590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EB39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004AFE18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258" w14:textId="60CFD154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+7.950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14D2" w14:textId="77777777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7BC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C346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D4554CE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0582" w14:textId="03FE94CD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Венткамера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03AC" w14:textId="6DE93C52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734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17B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2689F3EE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2A69" w14:textId="4DAE8DD4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Венткамера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D823" w14:textId="1B6A4A86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6FF6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0184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37007FDF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556D" w14:textId="4CDF84D1" w:rsidR="00C9485E" w:rsidRPr="006761EF" w:rsidRDefault="00C9485E" w:rsidP="003D1F22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Теплогенераторная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1E7" w14:textId="13C24DD2" w:rsidR="00C9485E" w:rsidRPr="006761EF" w:rsidRDefault="00C9485E" w:rsidP="003D1F22">
            <w:pPr>
              <w:spacing w:after="0"/>
              <w:ind w:right="-44"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5AAB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46B6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5E" w:rsidRPr="006761EF" w14:paraId="5AC84F81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5ECE" w14:textId="2DCD3D99" w:rsidR="00C9485E" w:rsidRPr="006761EF" w:rsidRDefault="00C9485E" w:rsidP="003D1F22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Бункер для сухого 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BC22" w14:textId="114029CC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4023" w14:textId="77777777" w:rsidR="00C9485E" w:rsidRPr="006761EF" w:rsidRDefault="00C9485E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6C1C" w14:textId="77777777" w:rsidR="00C9485E" w:rsidRPr="006761EF" w:rsidRDefault="00C9485E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5701A45D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6A61" w14:textId="48112D7A" w:rsidR="00934F00" w:rsidRPr="006761EF" w:rsidRDefault="00934F00" w:rsidP="003D1F22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Венткамера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DEEF" w14:textId="4A0BD938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4C8B" w14:textId="77777777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28A" w14:textId="77777777" w:rsidR="00934F00" w:rsidRPr="006761EF" w:rsidRDefault="00934F00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64CC1ABA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63C4" w14:textId="00F51733" w:rsidR="00934F00" w:rsidRPr="006761EF" w:rsidRDefault="00934F00" w:rsidP="003D1F22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Венткамера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4A31" w14:textId="6239DE3B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A88" w14:textId="77777777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C05A" w14:textId="77777777" w:rsidR="00934F00" w:rsidRPr="006761EF" w:rsidRDefault="00934F00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7F5610AB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5034" w14:textId="67810838" w:rsidR="00934F00" w:rsidRPr="006761EF" w:rsidRDefault="00934F00" w:rsidP="003D1F22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8D51" w14:textId="4C91B2D2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FA1" w14:textId="77777777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035" w14:textId="77777777" w:rsidR="00934F00" w:rsidRPr="006761EF" w:rsidRDefault="00934F00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204EEFB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7426" w14:textId="5D571EB0" w:rsidR="00934F00" w:rsidRPr="006761EF" w:rsidRDefault="00934F00" w:rsidP="003D1F22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Венткамера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8B61" w14:textId="115C2A43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DD35" w14:textId="77777777" w:rsidR="00934F00" w:rsidRPr="006761EF" w:rsidRDefault="00934F00" w:rsidP="003D1F22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1358" w14:textId="77777777" w:rsidR="00934F00" w:rsidRPr="006761EF" w:rsidRDefault="00934F00" w:rsidP="003D1F22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3CFCFD0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E8D0" w14:textId="13F1BB0C" w:rsidR="00934F00" w:rsidRPr="00BA2869" w:rsidRDefault="00934F00" w:rsidP="00BA2869">
            <w:pPr>
              <w:pStyle w:val="a3"/>
              <w:numPr>
                <w:ilvl w:val="0"/>
                <w:numId w:val="4"/>
              </w:numPr>
              <w:overflowPunct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BA28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этап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3E0B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F49B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9229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7AA97892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41E" w14:textId="7C787A7C" w:rsidR="00934F00" w:rsidRPr="00FF4CEC" w:rsidRDefault="00934F00" w:rsidP="00FF4CEC">
            <w:pPr>
              <w:overflowPunct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7CC6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84BA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DABF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337E55A6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7A25" w14:textId="4F070FAE" w:rsidR="00934F00" w:rsidRPr="006761EF" w:rsidRDefault="00934F00" w:rsidP="00BA2869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Вестибюль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AD8B" w14:textId="54D8E05D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7A4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69E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400C16FD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A83" w14:textId="0C4D9D28" w:rsidR="00934F00" w:rsidRPr="006761EF" w:rsidRDefault="00934F00" w:rsidP="00BA2869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88D3" w14:textId="21F626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DA33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9E50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174BBC34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D08" w14:textId="71C08FDC" w:rsidR="00934F00" w:rsidRPr="006761EF" w:rsidRDefault="00934F00" w:rsidP="00BA2869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C92" w14:textId="197C4B1B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1172,19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5D84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4793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0E247D59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DCA6" w14:textId="7E84F5E0" w:rsidR="00934F00" w:rsidRPr="006761EF" w:rsidRDefault="00934F00" w:rsidP="00BA2869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Подзарядка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гелевых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AA43" w14:textId="45A61B33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401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10FD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6EC998BA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8518" w14:textId="021F895C" w:rsidR="00934F00" w:rsidRPr="006761EF" w:rsidRDefault="00934F00" w:rsidP="00BA2869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оформления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A151" w14:textId="6AFD1ACF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BA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A31D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1CD75753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7E3" w14:textId="594C3E47" w:rsidR="00934F00" w:rsidRPr="006761EF" w:rsidRDefault="00934F00" w:rsidP="00BA2869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Тамбур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7418" w14:textId="58B3D81B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9462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615F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3042115E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CE84" w14:textId="0308E3D9" w:rsidR="00934F00" w:rsidRPr="006761EF" w:rsidRDefault="00934F00" w:rsidP="00BA2869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Лестничная клетка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5CBE" w14:textId="1D34F045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C71B" w14:textId="77777777" w:rsidR="00934F00" w:rsidRPr="006761EF" w:rsidRDefault="00934F00" w:rsidP="00BA2869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27BB" w14:textId="77777777" w:rsidR="00934F00" w:rsidRPr="006761EF" w:rsidRDefault="00934F00" w:rsidP="00BA2869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746ABFF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438" w14:textId="1B269E10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+8.400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96B6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B363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CB1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12D28DEB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5360" w14:textId="4BEAAADC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Коридор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7267" w14:textId="3F667B23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9BCD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521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1A1CD2E4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C6D" w14:textId="529B7C78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Лестничная клетка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E317" w14:textId="6F52D6B2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9363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3958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377980F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3A49" w14:textId="51F14CA2" w:rsidR="00934F00" w:rsidRPr="00FF4CEC" w:rsidRDefault="00934F00" w:rsidP="00FF4CEC">
            <w:pPr>
              <w:pStyle w:val="a3"/>
              <w:numPr>
                <w:ilvl w:val="0"/>
                <w:numId w:val="4"/>
              </w:numPr>
              <w:overflowPunct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FF4C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этап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AF8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0DE0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5CA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4D1104D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46C3" w14:textId="32B2450A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этаж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0.000)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CEE" w14:textId="70CE26DB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545,58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AB59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CF6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25529FF7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4E4E" w14:textId="05EB2F07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этаж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+3.300)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CCC4" w14:textId="645B613E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7185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A786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73912980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1276" w14:textId="70CA0017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этаж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+6.600)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E680" w14:textId="56A7B419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87BB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D27E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1058A27B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BE9" w14:textId="23290B51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этаж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+10.050)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BF97" w14:textId="640CAEF8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C471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12EB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F00" w:rsidRPr="006761EF" w14:paraId="34D2A7EC" w14:textId="77777777" w:rsidTr="000C04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0BBF" w14:textId="5562F06B" w:rsidR="00934F00" w:rsidRPr="006761EF" w:rsidRDefault="00934F00" w:rsidP="00FF4CEC">
            <w:pPr>
              <w:overflowPunct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Технический этаж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+13.640)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67AB" w14:textId="67C60E79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107,62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D753" w14:textId="77777777" w:rsidR="00934F00" w:rsidRPr="006761EF" w:rsidRDefault="00934F00" w:rsidP="00FF4CEC">
            <w:pPr>
              <w:spacing w:after="0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5A94" w14:textId="77777777" w:rsidR="00934F00" w:rsidRPr="006761EF" w:rsidRDefault="00934F00" w:rsidP="00FF4CEC">
            <w:pPr>
              <w:spacing w:after="0"/>
              <w:ind w:firstLine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6990BE" w14:textId="081D818C" w:rsidR="00401FCF" w:rsidRDefault="00401FCF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F7E4C" w14:textId="5A9D0A6A" w:rsidR="009F7219" w:rsidRDefault="009F7219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B6DCA3" w14:textId="77777777" w:rsidR="00121FE8" w:rsidRPr="0077278E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278E">
        <w:rPr>
          <w:rFonts w:ascii="Times New Roman" w:hAnsi="Times New Roman"/>
          <w:sz w:val="24"/>
          <w:szCs w:val="24"/>
        </w:rPr>
        <w:lastRenderedPageBreak/>
        <w:t>Отчет о проведении строительного аудита/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78E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7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78E">
        <w:rPr>
          <w:rFonts w:ascii="Times New Roman" w:hAnsi="Times New Roman"/>
          <w:sz w:val="24"/>
          <w:szCs w:val="24"/>
        </w:rPr>
        <w:t>технического контроля должен содержать следующие разделы.</w:t>
      </w:r>
    </w:p>
    <w:p w14:paraId="723B3021" w14:textId="77777777" w:rsidR="00121FE8" w:rsidRPr="0077278E" w:rsidRDefault="00121FE8" w:rsidP="00121FE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B256CD" w14:textId="77777777" w:rsidR="00D23793" w:rsidRDefault="00D23793" w:rsidP="00D2379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I. Строительный аудит инвестиционного проекта</w:t>
      </w:r>
    </w:p>
    <w:p w14:paraId="4BB8D734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D24D2D7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Описание инвестиционного проекта</w:t>
      </w:r>
    </w:p>
    <w:p w14:paraId="58B939A0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Приводится описание месторасположения объекта строительства с нанесением на карту в масштабах города и в масштабах области, в которой осуществляется строительство. Приводится описание объекта строительства с указанием полного перечня строящихся зданий и сооружений с указанием технических, конструктивных и объемно-планировочных решений по каждому подобъекту.</w:t>
      </w:r>
    </w:p>
    <w:p w14:paraId="54E49FD1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D3F5F5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2. Анализ наличия и полноты исходно-разрешительной (ИРД) и проектно-сметной документации (ПСД) по проекту </w:t>
      </w:r>
    </w:p>
    <w:p w14:paraId="1B8F9A76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Отражается перечень полученной и разработанной ИРД и ПСД по проекту. Анализ достаточности ИРД должен быть проведен не только на основные объекты/ площадки Проекта, но и на внеплощадочные сети и коммуникации - в т.ч. авто и ж/д дороги (анализ представляется в табличной форме). По результатам анализа делается однозначный вывод о достаточности/ недостаточности ИРД для завершения строительства и ввода объектов проекта в эксплуатацию. Анализ достаточности проектно - сметной документации осуществляется в разрезе каждого объекта/ площадки Проекта, в т.ч. на наружные сети. Указывается перечень недостающей проектной документации, а так же перечень разработанной проектной документации стадии «Рабочая документация» (РД) с указанием количества (в %) разработанной документации от общего объема и планируемые сроки разработки по каждому разделу.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рабочей документации (в%) допускается рассчитывать как отношение стоимости принятых работ по разработке рабочей документации к общей стоимости разработки рабочей документации.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проведенного анализа делается вывод о достаточности/недостаточности разработанной проектно-сметной документации для завершения строительства и ввода объектов в эксплуатацию, а так же о влиянии отсутствия полного комплекта проектной документации стадии «РД» на завершение строительства в планируемые сроки.</w:t>
      </w:r>
    </w:p>
    <w:p w14:paraId="6F256E44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таблиц по анализу ИРД и ПСД приведены в Приложении 1.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14:paraId="0A0418E6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5A3BDC23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3. Анализ технологических решений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579077A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сопоставление технологических решений, указанных в Проектной документации (ПД) на соответствие с перечнем и производственными показателями оборудования, заложенного в бюджет (спецификациями договоров на поставку/ проектов договоров на поставку). Формы таблиц по анализу технологических решений приведены в таблице 1.5 Приложения 1. Делаются выводы о соответствии: </w:t>
      </w:r>
    </w:p>
    <w:p w14:paraId="4F20A837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оборудования, приобретаемого в рамках бюджета проекта, принятым в ПД технологическим решениям;</w:t>
      </w:r>
    </w:p>
    <w:p w14:paraId="32E2181A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строящихся зданий и сооружений, с указанием конструктивных и объемно-планировочных решений, принятым в ПД технологическим решениям. </w:t>
      </w:r>
    </w:p>
    <w:p w14:paraId="26C37A49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виде приложений к отчету приводятся:</w:t>
      </w:r>
    </w:p>
    <w:p w14:paraId="3436F805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расчеты по производственным показателям; </w:t>
      </w:r>
    </w:p>
    <w:p w14:paraId="3BD5A5D1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материалы, на которые дается ссылка при расчете; </w:t>
      </w:r>
    </w:p>
    <w:p w14:paraId="0E472024" w14:textId="77777777" w:rsidR="00D23793" w:rsidRDefault="00D23793" w:rsidP="00D2379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перечень оборудования в разрезе заключенных договоров на поставку/коммерческих предложений/ сметных расчётов;</w:t>
      </w:r>
    </w:p>
    <w:p w14:paraId="59A8B70E" w14:textId="6B80139D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технологическая блок-схема.</w:t>
      </w:r>
    </w:p>
    <w:p w14:paraId="2B7D531D" w14:textId="5D74FE98" w:rsidR="0016039A" w:rsidRDefault="0016039A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7E93A" w14:textId="77777777" w:rsidR="00463C75" w:rsidRDefault="00463C75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16A74739" w14:textId="2A640B49" w:rsidR="0016039A" w:rsidRDefault="0016039A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11B520" w14:textId="77777777" w:rsidR="0016039A" w:rsidRDefault="0016039A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8373D8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00048E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Глава 4. Анализ стоимости реализации проекта</w:t>
      </w:r>
    </w:p>
    <w:p w14:paraId="69BB8251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Анализ общей стоимости реализации проекта на основании объектов-аналогов</w:t>
      </w:r>
    </w:p>
    <w:p w14:paraId="5983493F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анализа стоимости Проекта в сравнении с объектами-аналогами, сравнение должно проводится с сопоставимыми объектами (производственная мощность, состав подобъектов, конструктивные и планировочные решения и т.д.). Анализ проводится по нескольким объектам-аналогам (не менее 3-х) при этом стоимость объектов-аналогов не может отклоняться между собой более чем на 25%, отклонение более 25% говорит о несоответствии параметров объектов-аналогов. Анализ должен быть проведен как по проекту целиком, так и по отдельным подобъектам, при этом анализ по проекту целиком проводится на единицу производственной мощности, а по подобъектам на единицу строительного объема, единицу площади и на единицу производственной мощности подобъекта. При проведении анализа стоимость объектов-аналогов должна быть приведена к условиям строительства анализируемого проекта (период строительства, курс иностранных валют, регион строительства) при этом необходимо отразить в отчете расчет стоимости каждого аналога. </w:t>
      </w:r>
    </w:p>
    <w:p w14:paraId="1C9DDE57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приложениях к отчету приводятся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используемые надзорной компанией при анализе стоимости, в т.ч. бюджет проектов-аналогов в разрезе СМР/ Оборудование/ Прочие состав объектов-аналогов, конструктивные и объемно-планировочные решения, стоимость по подобъектам в разрезе СМР/ Оборудование/ Прочие, сроки строительства, курс валюты заложенный при расчете бюджета проектов-аналогов. </w:t>
      </w:r>
    </w:p>
    <w:p w14:paraId="6F676B05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таблиц по сравнительному анализу стоимости приведены в Приложении 2.</w:t>
      </w:r>
    </w:p>
    <w:p w14:paraId="6D81A097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отклонение стоимости анализируемого объекта от среднего значения объектов-аналогов не более 10% как в большую, так и меньшую сторону. При этом в отчете должен быть проведен детальный анализ выявленных отклонений с приложением расчетов.</w:t>
      </w:r>
    </w:p>
    <w:p w14:paraId="20FAB1C6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C82C894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Анализ стоимости строительно-монтажных и прочих работ на основании проектно-сметной документации</w:t>
      </w:r>
    </w:p>
    <w:p w14:paraId="5055B2D3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анализа соответствия декларируемой общей стоимости строительства Объекта сметным/ проектным условиям необходимо провести проверку соответствия объемов работ, указанных в локальных сметных расчетах, объемам работ, указанных в проектной документации, а также расценок, указанных в локальным сметных расчетах, рыночной стоимости. Анализ соответствия расценок рыночной стоимости проводится по нескольким предложениям (не менее 3-х) при этом цена в предложениях не может отклоняться между собой более чем на 25%, отклонение более 25% говорит о несоответствии параметров предложений. При этом все расчеты должны быть приложены к Отчету. </w:t>
      </w:r>
    </w:p>
    <w:p w14:paraId="02BA396C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указанного анализа надзорной компанией заполняется и прикладывается к отчету накопительная ведомость по форме Приложения 3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При проведении анализа сводного сметного расчета надзорной компанией проводится анализ соответствия сводного сметного расчета бюджету проекта, а так же правильность начисления лимитированных затрат и прочих работ.</w:t>
      </w:r>
    </w:p>
    <w:p w14:paraId="3D39A5DF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накопительной ведомости приведена в Приложении 3. Пример анализа соответствия расценок рыночной стоимости приведен в Приложении 4.</w:t>
      </w:r>
    </w:p>
    <w:p w14:paraId="679D3A59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D44D1D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Анализ стоимости оборудования/ техники/ автотранспорта</w:t>
      </w:r>
    </w:p>
    <w:p w14:paraId="0C9F10C7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стоимости технологического оборудования/ техники/ автотранспорта должен быть проведен на основании альтернативных предложений по поставке аналогичного оборудования/ техники/ автотранспорта или по договорам на поставку аналогичного оборудования/ техники/ автотранспорта. При анализе стоимости оборудования/ техники/ автотранспорта, предложения с которыми ведется сравнение, должны быть приведены к условиям анализируемого оборудования/ техники/ автотранспорта (курс валюты, индекс пересчета стоимости оборудования, инфляция, условия поставки). Пересчет альтернативных предложений к условиям анализируемого оборудования/ техники/ автотранспорта должен быть приведен в отчете. В подтверждении стоимости и условий поставки, заложенных в альтернативных предложениях в приложении к отчету должны быть представлены материалы, которыми надзорная компания руководствовалась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проведении анализа. По результатам проведенного анализа делается вывод о соответствии или не соответствии стоимости оборудования/ техники/ автотранспорта рыночным условиям.</w:t>
      </w:r>
    </w:p>
    <w:p w14:paraId="4D536175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таблиц по анализу стоимости оборудования приведены в Приложении 5.</w:t>
      </w:r>
    </w:p>
    <w:p w14:paraId="12CEA411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C78DC7F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Анализ плановых сроков реализации проекта</w:t>
      </w:r>
    </w:p>
    <w:p w14:paraId="63AFB014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5.1. Плановые сроки реализации проекта</w:t>
      </w:r>
    </w:p>
    <w:p w14:paraId="6602D517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строительства проекта должен учитывать все процессы от момента получения ИРД до получения разрешения на ввод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объекта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эксплуатацию и передачу объекта (-ов) в эксплуатацию. График должен быть детализирован до наименований видов работ (составляющих (Составляющие – наиболее весомые части, из которых состоит подобъект. Например, фундамент, стены, перекрытие, кровля, окна, двери, внутренние инженерные сети и т.д.)) в последовательности: проект – объект – подобъект – составляющие подобъекта. </w:t>
      </w:r>
    </w:p>
    <w:p w14:paraId="15B5CDCB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объектов должен соответствовать исходно-разрешительной документации (разрешениям на строительство, заключению экспертизы проектной документации) и перечню объектов, стоимость которых определена бюджетом, принятым УОБ. В графике проект должен быть разделен на объекты/ площадки, объекты/ площадки разделяются на подобъекты, подобъекты разделяются на составляющие. Дополнительно в графике выделяются подготовительные работы (проведение изысканий, проектирование, получение ТУ, получение разрешение на строительство и т.д.). Более подробное деление приведено в Приложении 6 по определению строительной готовности. </w:t>
      </w:r>
    </w:p>
    <w:p w14:paraId="7AA49093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проведения анализа графика на предмет реалистичности должны быть выполнены следующие процедуры: определение трудоемкости работ, определение продолжительности работ, анализ взаимосвязи работ с учетом технологической последовательности выполнения работ. Трудоемкость работ определяется в соответствии с рекомендациями, приведенными в Приложении 6. Продолжительность работы определяется на основании данных о трудоемкости всей работы, нормативной или прогнозной выработки на одну единицу ресурса, данных о наличии соответствующих ресурсов. Технологическая последовательность выполнения работ определяется строительными нормативами, технологическими картами и проектной документацией. После проведения анализа реалистичности запланированных сроков подготовить сводную таблицу отклонений от представленного графика с рекомендациями по оптимизации и корректировке сроков производства работ. </w:t>
      </w:r>
    </w:p>
    <w:p w14:paraId="164B6193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Сформированный график строительства проекта должен быть также проанализирован на предмет соответствия исходно-разрешительной и договорной документации с приведением соответствующих выводов, причин отклонений и их влияние на общую продолжительность строительства.</w:t>
      </w:r>
    </w:p>
    <w:p w14:paraId="64EAF5C7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сроков реализации проекта и уровня строительной готовности приведен в Приложении 6.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4E3C809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517DB498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6. Анализ договоров по проекту</w:t>
      </w:r>
    </w:p>
    <w:p w14:paraId="5E861551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Приводится перечень участников и схема взаимодействия по проекту с указанием реквизитов заключенных договоров, функциями участника и наличием необходимых лицензий/ свидетельств. В анализе условий договоров необходимо указывать учтен ли в стоимости НДС, а в договорах на поставку оборудования также необходимо указывать учтены ли таможенные платежи и условия поставки согласно базису. Также необходимо указать условия авансирования. При анализе договоров необходимо учитывать соответствие стоимости и графиков договоров стоимости и срокам реализации Проекта. При выявлении отклонений - выделять данный факт. Виды и объемы работ по договорам должны соответствовать ПСД. Стоимости работ по договорам должны соответствовать рыночным условиям. При проведении анализа соответствия декларируемой стоимости по договору необходимо провести проверку соответствия объемов работ, указанных в приложениях к договорам, объемам работ, указанных в проектной документации, а также расценок, указанных в приложениях к договорам, рыночной стоимости. При этом все расчеты должны быть приложены к Отчету. </w:t>
      </w:r>
    </w:p>
    <w:p w14:paraId="58ECA60E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Анализ расценок указанных в договоре на соответствие рыночной стоимости должен быть проведен по актуальным предложениям, отражающим текущую рыночную стоимость. Анализ проводится по нескольким предложениям (не менее 3-х) при этом цена в предложениях не может отклоняться между собой более чем на 25%, отклонение более 25% говорит о несоответствии параметров предложений.   </w:t>
      </w:r>
    </w:p>
    <w:p w14:paraId="09AB5AEE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Допускается проведение сравнительного анализа расценок по договору с расценками по сметной документации, которая обосновывает бюджет проекта и была подтверждена на соответствие рыночным условиям (в таком случае проверка расценок по договору на предмет соответствие рыночным условиям не требуется.</w:t>
      </w:r>
    </w:p>
    <w:p w14:paraId="0DCC08E6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7E0804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II.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Финасово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-технический контроль</w:t>
      </w:r>
    </w:p>
    <w:p w14:paraId="69065E96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67983B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отчетах по финансово-техническому контролю в главы раздела I дополнительно вносится информация по анализу внесенных изменений в реализуемый Проект.</w:t>
      </w:r>
    </w:p>
    <w:p w14:paraId="0547CCF4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8E64FD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7. Анализ фактического выполнения работ и финансирования по проекту.</w:t>
      </w:r>
    </w:p>
    <w:p w14:paraId="27C5082A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Анализ объемов выполненных работ</w:t>
      </w:r>
    </w:p>
    <w:p w14:paraId="4CD70D52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проверка объемов выполненных указанных в актах выполненных работ на соответствие разработанной проектной документации и на соответствие фактически выполненным работам на объекте. В ходе проведения анализа заполняется накопительная ведомость по форме Банка. По результатам анализа делается вывод о соответствии/ несоответствии объемов выполненных работ ПСД и фактически выполненным работам. </w:t>
      </w:r>
    </w:p>
    <w:p w14:paraId="7126E95D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накопительной ведомости приведена в Приложении 3.</w:t>
      </w:r>
    </w:p>
    <w:p w14:paraId="7CD3882C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A1BF5B2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Анализ стоимости выполненных работ</w:t>
      </w:r>
    </w:p>
    <w:p w14:paraId="7DAD9549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анализ стоимости выполненных работ на соответствие бюджету проекта. В ходе анализа заполняется накопительная ведомость по форме Банка. По результатам анализа делается вывод о соответствии/ несоответствии выполненных работ бюджету проекта, в случае несоответствии делается вывод о влиянии выявленных несоответствий на бюджет проекта. Проводится анализ выполненных работ указанных в актах выполненных работ на соответствие заключенным договорам по проекту. </w:t>
      </w:r>
    </w:p>
    <w:p w14:paraId="074519BE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накопительной ведомости приведена в Приложении 3.</w:t>
      </w:r>
    </w:p>
    <w:p w14:paraId="00F94A32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6A00E2B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4C75B0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7.3. Анализ изменений ИРД/ ПСД/ сроков реализации проекта</w:t>
      </w:r>
    </w:p>
    <w:p w14:paraId="114BE63D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анализ изменений исходно-разрешительной, проектно-сметной документации и сроков реализации проекта и влияния внесенных изменений на бюджет проекта.</w:t>
      </w:r>
    </w:p>
    <w:p w14:paraId="27CC6B08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832E693" w14:textId="77777777" w:rsidR="00D23793" w:rsidRPr="00401FCF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1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7.4. Анализ финансирования/освоения по проекту</w:t>
      </w:r>
    </w:p>
    <w:p w14:paraId="03C478FC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FCF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проводится по статьям бюджета Проекта с учетом всех источников финансирования с начала строительства и в том числе за отчетный период. Реестр платежных поручений с указанием статьи бюджета и источника финансирования оформляется в форме приложения к отчету. Также реестр направляется в банк в формате </w:t>
      </w:r>
      <w:proofErr w:type="spellStart"/>
      <w:r w:rsidRPr="00401FCF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401FCF">
        <w:rPr>
          <w:rFonts w:ascii="Times New Roman" w:eastAsia="Times New Roman" w:hAnsi="Times New Roman"/>
          <w:sz w:val="24"/>
          <w:szCs w:val="24"/>
          <w:lang w:eastAsia="ru-RU"/>
        </w:rPr>
        <w:t>. Приводится в разрезе договоров размер авансов и проводится анализ соответствия размера авансов условиям заключенных договоров и решению УОБ. При выполнении указанных пунктов надзорной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компанией заполняются и прикладываются в виде приложений таблицы. </w:t>
      </w:r>
    </w:p>
    <w:p w14:paraId="23621E63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таблиц финансового надзора за реализацией проекта приведены в Приложении 7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06347058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6922C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8. Анализ фактического выполнение календарных планов-графиков</w:t>
      </w:r>
    </w:p>
    <w:p w14:paraId="70E27048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плановых сроков производится по каждой составляющей подобъекта на основании полученных данных о строительной готовности. На основании текущего выполнения работ (составляющих подобъектов) делается прогноз даты завершения каждой работы и ввода объекта в эксплуатацию с учетом технологической последовательности выполнения работ.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анализ исполнения графика финансирования. По результатам проведенного анализа в отчете делается вывод о наличии/ отсутствии отклонений в разрезе объектов/ подобъектов, а так же влияние отклонений на общий срок реализации проекта. </w:t>
      </w:r>
    </w:p>
    <w:p w14:paraId="39FA733E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сроков реализации проекта и уровня строительной готовности приведены в Приложении 6.</w:t>
      </w:r>
    </w:p>
    <w:p w14:paraId="5823D961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72573F7E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9. Организация строительного контроля на объекте. Замечания надзорной компании по результатам инспекционной проверки строительной площадки</w:t>
      </w:r>
    </w:p>
    <w:p w14:paraId="182BBC23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строительного контроля</w:t>
      </w:r>
    </w:p>
    <w:p w14:paraId="60DD4BD3" w14:textId="0F00B4B8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анализ организации строительного контроля за реализацией проекта со стороны застройщика, приводится перечень лиц ответственных за осуществление строительного контроля и делается вывод достаточности/ </w:t>
      </w:r>
      <w:r w:rsidR="002C1DBA">
        <w:rPr>
          <w:rFonts w:ascii="Times New Roman" w:eastAsia="Times New Roman" w:hAnsi="Times New Roman"/>
          <w:sz w:val="24"/>
          <w:szCs w:val="24"/>
          <w:lang w:eastAsia="ru-RU"/>
        </w:rPr>
        <w:t>недостаточности мероприятий,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проводимых застройщиком. Проводится анализ исполнительной документации по проекту. Проводится анализ на соответствие выполненных работ проектной и нормативной документации в строительстве.</w:t>
      </w:r>
    </w:p>
    <w:p w14:paraId="24B2D7F0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Замечания надзорной компании</w:t>
      </w:r>
    </w:p>
    <w:p w14:paraId="7C12D672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Приводится перечень замечаний в части соответствия выполненных работ проектной и нормативной документации в строительстве, замечания в части правил складирования материалов, изделий и конструкций, а так же выполнения требований техники безопасности на объекте строительства.</w:t>
      </w:r>
    </w:p>
    <w:p w14:paraId="79B9BF75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F2E902" w14:textId="77777777" w:rsidR="00D23793" w:rsidRDefault="00D23793" w:rsidP="00D2379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E1D528" w14:textId="77777777" w:rsidR="00D23793" w:rsidRDefault="00D23793" w:rsidP="00D2379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III. Итоговые выводы</w:t>
      </w:r>
    </w:p>
    <w:p w14:paraId="1CBB3ACC" w14:textId="77777777" w:rsidR="00D23793" w:rsidRDefault="00D23793" w:rsidP="00D2379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CB60BA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10. Организационно-технические и финансовые факторы, влияющие на ход реализации проекта, рекомендации надзорной компании по оптимизации хода реализации проекта</w:t>
      </w:r>
    </w:p>
    <w:p w14:paraId="764A9762" w14:textId="77777777" w:rsidR="00D23793" w:rsidRDefault="00D23793" w:rsidP="00D237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Приводятся организационно-технические и финансовые факторы, влияющие на ход реализации проекта, рекомендации надзорной компании по оптимизации хода реализации проекта.</w:t>
      </w:r>
    </w:p>
    <w:p w14:paraId="269E864F" w14:textId="77777777" w:rsidR="00121FE8" w:rsidRPr="005D1220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935A58" w14:textId="77777777" w:rsidR="00121FE8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14:paraId="71FDAD0B" w14:textId="77777777" w:rsidR="00121FE8" w:rsidRPr="00C850BF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850BF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850BF">
        <w:rPr>
          <w:rFonts w:ascii="Times New Roman" w:hAnsi="Times New Roman"/>
          <w:bCs/>
          <w:iCs/>
          <w:sz w:val="24"/>
          <w:szCs w:val="24"/>
        </w:rPr>
        <w:t xml:space="preserve">1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C850BF">
        <w:rPr>
          <w:rFonts w:ascii="Times New Roman" w:hAnsi="Times New Roman"/>
          <w:bCs/>
          <w:iCs/>
          <w:sz w:val="24"/>
          <w:szCs w:val="24"/>
        </w:rPr>
        <w:t>Формы таблиц по анализу ИРД и ПСД</w:t>
      </w:r>
      <w:r>
        <w:rPr>
          <w:rFonts w:ascii="Times New Roman" w:hAnsi="Times New Roman"/>
          <w:bCs/>
          <w:iCs/>
          <w:sz w:val="24"/>
          <w:szCs w:val="24"/>
        </w:rPr>
        <w:t>»;</w:t>
      </w:r>
    </w:p>
    <w:p w14:paraId="2BE47F5A" w14:textId="77777777" w:rsidR="00121FE8" w:rsidRPr="00C850BF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</w:t>
      </w:r>
      <w:r w:rsidRPr="00C850BF">
        <w:rPr>
          <w:rFonts w:ascii="Times New Roman" w:hAnsi="Times New Roman"/>
          <w:bCs/>
          <w:iCs/>
          <w:sz w:val="24"/>
          <w:szCs w:val="24"/>
        </w:rPr>
        <w:t>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2</w:t>
      </w:r>
      <w:r w:rsidRPr="00C850B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C850BF">
        <w:rPr>
          <w:rFonts w:ascii="Times New Roman" w:hAnsi="Times New Roman"/>
          <w:sz w:val="24"/>
          <w:szCs w:val="24"/>
        </w:rPr>
        <w:t>Формы таблиц по сравнительному анализу стоимости</w:t>
      </w:r>
      <w:r>
        <w:rPr>
          <w:rFonts w:ascii="Times New Roman" w:hAnsi="Times New Roman"/>
          <w:sz w:val="24"/>
          <w:szCs w:val="24"/>
        </w:rPr>
        <w:t>»;</w:t>
      </w:r>
    </w:p>
    <w:p w14:paraId="77F65903" w14:textId="77777777" w:rsidR="00121FE8" w:rsidRPr="00C850BF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50BF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3</w:t>
      </w:r>
      <w:r w:rsidRPr="00C850B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C850BF">
        <w:rPr>
          <w:rFonts w:ascii="Times New Roman" w:hAnsi="Times New Roman"/>
          <w:sz w:val="24"/>
          <w:szCs w:val="24"/>
        </w:rPr>
        <w:t>Форма накопительной ведомости</w:t>
      </w:r>
      <w:r>
        <w:rPr>
          <w:rFonts w:ascii="Times New Roman" w:hAnsi="Times New Roman"/>
          <w:sz w:val="24"/>
          <w:szCs w:val="24"/>
        </w:rPr>
        <w:t>»</w:t>
      </w:r>
      <w:r w:rsidRPr="00C850BF">
        <w:rPr>
          <w:rFonts w:ascii="Times New Roman" w:hAnsi="Times New Roman"/>
          <w:sz w:val="24"/>
          <w:szCs w:val="24"/>
        </w:rPr>
        <w:t>;</w:t>
      </w:r>
    </w:p>
    <w:p w14:paraId="40C1C692" w14:textId="77777777" w:rsidR="00121FE8" w:rsidRPr="00C850BF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50BF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4</w:t>
      </w:r>
      <w:r w:rsidRPr="00C850B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C850BF">
        <w:rPr>
          <w:rFonts w:ascii="Times New Roman" w:hAnsi="Times New Roman"/>
          <w:sz w:val="24"/>
          <w:szCs w:val="24"/>
        </w:rPr>
        <w:t>Анализ соответствия расценок рыночной стоимости</w:t>
      </w:r>
      <w:r>
        <w:rPr>
          <w:rFonts w:ascii="Times New Roman" w:hAnsi="Times New Roman"/>
          <w:sz w:val="24"/>
          <w:szCs w:val="24"/>
        </w:rPr>
        <w:t>»;</w:t>
      </w:r>
    </w:p>
    <w:p w14:paraId="64EB99E4" w14:textId="77777777" w:rsidR="00121FE8" w:rsidRPr="00C850BF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50BF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5</w:t>
      </w:r>
      <w:r w:rsidRPr="00C850B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C850BF">
        <w:rPr>
          <w:rFonts w:ascii="Times New Roman" w:hAnsi="Times New Roman"/>
          <w:sz w:val="24"/>
          <w:szCs w:val="24"/>
        </w:rPr>
        <w:t>Формы таблиц по анализу стоимости оборудования</w:t>
      </w:r>
      <w:r>
        <w:rPr>
          <w:rFonts w:ascii="Times New Roman" w:hAnsi="Times New Roman"/>
          <w:sz w:val="24"/>
          <w:szCs w:val="24"/>
        </w:rPr>
        <w:t>»;</w:t>
      </w:r>
    </w:p>
    <w:p w14:paraId="3D7BAB47" w14:textId="77777777" w:rsidR="00121FE8" w:rsidRPr="00C850BF" w:rsidRDefault="00121FE8" w:rsidP="00121FE8">
      <w:pPr>
        <w:pStyle w:val="1"/>
        <w:keepNext w:val="0"/>
        <w:spacing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50BF">
        <w:rPr>
          <w:rFonts w:ascii="Times New Roman" w:hAnsi="Times New Roman"/>
          <w:b w:val="0"/>
          <w:bCs w:val="0"/>
          <w:iCs/>
          <w:sz w:val="24"/>
          <w:szCs w:val="24"/>
        </w:rPr>
        <w:t>Приложение №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6</w:t>
      </w:r>
      <w:r w:rsidRPr="00C850BF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«</w:t>
      </w:r>
      <w:r w:rsidRPr="00C850BF">
        <w:rPr>
          <w:rFonts w:ascii="Times New Roman" w:hAnsi="Times New Roman" w:cs="Times New Roman"/>
          <w:b w:val="0"/>
          <w:sz w:val="24"/>
          <w:szCs w:val="24"/>
        </w:rPr>
        <w:t>Анализ сроков реализации проекта и уровня строительной готовности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»; </w:t>
      </w:r>
    </w:p>
    <w:p w14:paraId="4C668867" w14:textId="77777777" w:rsidR="00121FE8" w:rsidRPr="00C850BF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850BF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7</w:t>
      </w:r>
      <w:r w:rsidRPr="00C850B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C850BF">
        <w:rPr>
          <w:rFonts w:ascii="Times New Roman" w:hAnsi="Times New Roman"/>
          <w:bCs/>
          <w:iCs/>
          <w:sz w:val="24"/>
          <w:szCs w:val="24"/>
        </w:rPr>
        <w:t>Формы таблиц по финансовому надзору за реализацией проекта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C850BF">
        <w:rPr>
          <w:rFonts w:ascii="Times New Roman" w:hAnsi="Times New Roman"/>
          <w:bCs/>
          <w:iCs/>
          <w:sz w:val="24"/>
          <w:szCs w:val="24"/>
        </w:rPr>
        <w:t>.</w:t>
      </w:r>
    </w:p>
    <w:p w14:paraId="148BA772" w14:textId="77777777" w:rsidR="00C04B43" w:rsidRPr="00C850BF" w:rsidRDefault="00C04B43" w:rsidP="00C04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850BF">
        <w:rPr>
          <w:rFonts w:ascii="Times New Roman" w:hAnsi="Times New Roman"/>
          <w:bCs/>
          <w:iCs/>
          <w:sz w:val="24"/>
          <w:szCs w:val="24"/>
        </w:rPr>
        <w:t>Приложение №</w:t>
      </w:r>
      <w:r>
        <w:rPr>
          <w:rFonts w:ascii="Times New Roman" w:hAnsi="Times New Roman"/>
          <w:bCs/>
          <w:iCs/>
          <w:sz w:val="24"/>
          <w:szCs w:val="24"/>
        </w:rPr>
        <w:t xml:space="preserve"> 8</w:t>
      </w:r>
      <w:r w:rsidRPr="00C850B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«Условия собственного участия»</w:t>
      </w:r>
      <w:r w:rsidRPr="00C850BF">
        <w:rPr>
          <w:rFonts w:ascii="Times New Roman" w:hAnsi="Times New Roman"/>
          <w:bCs/>
          <w:iCs/>
          <w:sz w:val="24"/>
          <w:szCs w:val="24"/>
        </w:rPr>
        <w:t>.</w:t>
      </w:r>
    </w:p>
    <w:p w14:paraId="4CA37397" w14:textId="77777777" w:rsidR="00121FE8" w:rsidRPr="00C850BF" w:rsidRDefault="00121FE8" w:rsidP="00121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964405" w14:textId="77777777" w:rsidR="00B95007" w:rsidRDefault="00B95007" w:rsidP="00121FE8">
      <w:pPr>
        <w:spacing w:before="240" w:after="120"/>
        <w:ind w:firstLine="709"/>
        <w:jc w:val="center"/>
        <w:rPr>
          <w:rFonts w:ascii="Times New Roman" w:hAnsi="Times New Roman" w:cs="Times New Roman"/>
        </w:rPr>
      </w:pPr>
    </w:p>
    <w:p w14:paraId="60BC3753" w14:textId="77777777" w:rsidR="00C04B43" w:rsidRPr="00236215" w:rsidRDefault="00C04B43" w:rsidP="00121FE8">
      <w:pPr>
        <w:spacing w:before="240" w:after="120"/>
        <w:ind w:firstLine="709"/>
        <w:jc w:val="center"/>
        <w:rPr>
          <w:rFonts w:ascii="Times New Roman" w:hAnsi="Times New Roman" w:cs="Times New Roman"/>
        </w:rPr>
      </w:pPr>
    </w:p>
    <w:sectPr w:rsidR="00C04B43" w:rsidRPr="00236215" w:rsidSect="00C3147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7FF8"/>
    <w:multiLevelType w:val="hybridMultilevel"/>
    <w:tmpl w:val="77F0A194"/>
    <w:lvl w:ilvl="0" w:tplc="49E677CE">
      <w:start w:val="1"/>
      <w:numFmt w:val="decimal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87C47F5"/>
    <w:multiLevelType w:val="hybridMultilevel"/>
    <w:tmpl w:val="A2669A6C"/>
    <w:lvl w:ilvl="0" w:tplc="0E66E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9D34F5"/>
    <w:multiLevelType w:val="hybridMultilevel"/>
    <w:tmpl w:val="8EFCFF82"/>
    <w:lvl w:ilvl="0" w:tplc="CF2A2F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D71F1D"/>
    <w:multiLevelType w:val="multilevel"/>
    <w:tmpl w:val="B9801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BF"/>
    <w:rsid w:val="00003D38"/>
    <w:rsid w:val="0002404B"/>
    <w:rsid w:val="000633BD"/>
    <w:rsid w:val="000A32BD"/>
    <w:rsid w:val="000B1187"/>
    <w:rsid w:val="000C0445"/>
    <w:rsid w:val="000E32CA"/>
    <w:rsid w:val="00112F58"/>
    <w:rsid w:val="00121FE8"/>
    <w:rsid w:val="001228F6"/>
    <w:rsid w:val="0016039A"/>
    <w:rsid w:val="00193D72"/>
    <w:rsid w:val="001C736E"/>
    <w:rsid w:val="001F1AEB"/>
    <w:rsid w:val="00236215"/>
    <w:rsid w:val="00270694"/>
    <w:rsid w:val="002B77D1"/>
    <w:rsid w:val="002C1DBA"/>
    <w:rsid w:val="0032014B"/>
    <w:rsid w:val="003A38BA"/>
    <w:rsid w:val="003C07A6"/>
    <w:rsid w:val="003D1F22"/>
    <w:rsid w:val="00401FCF"/>
    <w:rsid w:val="00421E35"/>
    <w:rsid w:val="00463C75"/>
    <w:rsid w:val="004752DC"/>
    <w:rsid w:val="00482A24"/>
    <w:rsid w:val="004B37C8"/>
    <w:rsid w:val="004D0709"/>
    <w:rsid w:val="004F49E8"/>
    <w:rsid w:val="00503AD7"/>
    <w:rsid w:val="00507C3D"/>
    <w:rsid w:val="005325DA"/>
    <w:rsid w:val="00556F4C"/>
    <w:rsid w:val="00577FDC"/>
    <w:rsid w:val="005A3B31"/>
    <w:rsid w:val="005C5588"/>
    <w:rsid w:val="006761EF"/>
    <w:rsid w:val="00677558"/>
    <w:rsid w:val="006B48A1"/>
    <w:rsid w:val="006D2B61"/>
    <w:rsid w:val="006E58D8"/>
    <w:rsid w:val="00726DA7"/>
    <w:rsid w:val="007A1B9D"/>
    <w:rsid w:val="007C5263"/>
    <w:rsid w:val="007F382D"/>
    <w:rsid w:val="008A14E7"/>
    <w:rsid w:val="009037D5"/>
    <w:rsid w:val="00916166"/>
    <w:rsid w:val="00920717"/>
    <w:rsid w:val="00934F00"/>
    <w:rsid w:val="009E43B0"/>
    <w:rsid w:val="009F7219"/>
    <w:rsid w:val="00A2599D"/>
    <w:rsid w:val="00A60CC1"/>
    <w:rsid w:val="00AB755F"/>
    <w:rsid w:val="00B321CF"/>
    <w:rsid w:val="00B64CFF"/>
    <w:rsid w:val="00B71EBF"/>
    <w:rsid w:val="00B95007"/>
    <w:rsid w:val="00BA2869"/>
    <w:rsid w:val="00BB2523"/>
    <w:rsid w:val="00BF3B87"/>
    <w:rsid w:val="00C04B43"/>
    <w:rsid w:val="00C31475"/>
    <w:rsid w:val="00C628F2"/>
    <w:rsid w:val="00C9485E"/>
    <w:rsid w:val="00C97DF9"/>
    <w:rsid w:val="00D1513A"/>
    <w:rsid w:val="00D23793"/>
    <w:rsid w:val="00D8587F"/>
    <w:rsid w:val="00D93BAD"/>
    <w:rsid w:val="00DA7836"/>
    <w:rsid w:val="00E10B13"/>
    <w:rsid w:val="00E31C47"/>
    <w:rsid w:val="00E4735D"/>
    <w:rsid w:val="00E602DE"/>
    <w:rsid w:val="00E63A2B"/>
    <w:rsid w:val="00EA5B3F"/>
    <w:rsid w:val="00EB1A73"/>
    <w:rsid w:val="00EC6C6B"/>
    <w:rsid w:val="00F75547"/>
    <w:rsid w:val="00FD56A7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4A5D"/>
  <w15:docId w15:val="{87EE94A8-7354-4125-8E02-AF05CF8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FE8"/>
    <w:pPr>
      <w:keepNext/>
      <w:spacing w:after="240" w:line="240" w:lineRule="auto"/>
      <w:ind w:firstLine="567"/>
      <w:jc w:val="center"/>
      <w:outlineLvl w:val="0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A7"/>
    <w:pPr>
      <w:ind w:left="720"/>
      <w:contextualSpacing/>
    </w:pPr>
  </w:style>
  <w:style w:type="table" w:customStyle="1" w:styleId="2">
    <w:name w:val="стиль ИК2К"/>
    <w:basedOn w:val="a1"/>
    <w:rsid w:val="007C5263"/>
    <w:pPr>
      <w:spacing w:after="0" w:line="240" w:lineRule="auto"/>
      <w:jc w:val="center"/>
    </w:pPr>
    <w:rPr>
      <w:rFonts w:ascii="Arial Narrow" w:eastAsia="Times New Roman" w:hAnsi="Arial Narrow" w:cs="Times New Roman"/>
      <w:color w:val="404040" w:themeColor="text1" w:themeTint="BF"/>
      <w:sz w:val="20"/>
      <w:szCs w:val="20"/>
    </w:rPr>
    <w:tblPr>
      <w:jc w:val="center"/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single" w:sz="4" w:space="0" w:color="0070C0"/>
        <w:insideV w:val="single" w:sz="4" w:space="0" w:color="0070C0"/>
      </w:tblBorders>
    </w:tblPr>
    <w:trPr>
      <w:jc w:val="center"/>
    </w:trPr>
    <w:tcPr>
      <w:vAlign w:val="center"/>
    </w:tcPr>
    <w:tblStylePr w:type="firstRow">
      <w:pPr>
        <w:jc w:val="center"/>
      </w:pPr>
      <w:tblPr/>
      <w:tcPr>
        <w:shd w:val="clear" w:color="auto" w:fill="EDF3ED"/>
      </w:tcPr>
    </w:tblStylePr>
    <w:tblStylePr w:type="firstCol">
      <w:pPr>
        <w:jc w:val="left"/>
      </w:pPr>
    </w:tblStylePr>
  </w:style>
  <w:style w:type="character" w:customStyle="1" w:styleId="10">
    <w:name w:val="Заголовок 1 Знак"/>
    <w:basedOn w:val="a0"/>
    <w:link w:val="1"/>
    <w:uiPriority w:val="9"/>
    <w:rsid w:val="00121FE8"/>
    <w:rPr>
      <w:rFonts w:ascii="Calibri" w:eastAsia="Times New Roman" w:hAnsi="Calibri" w:cs="Calibri"/>
      <w:b/>
      <w:bCs/>
      <w:kern w:val="3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CF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AB75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Россельхозбанк</Company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Григорий Александрович</dc:creator>
  <cp:lastModifiedBy>Левинский Сергей</cp:lastModifiedBy>
  <cp:revision>6</cp:revision>
  <cp:lastPrinted>2020-02-04T13:04:00Z</cp:lastPrinted>
  <dcterms:created xsi:type="dcterms:W3CDTF">2020-02-04T18:21:00Z</dcterms:created>
  <dcterms:modified xsi:type="dcterms:W3CDTF">2020-02-06T09:57:00Z</dcterms:modified>
</cp:coreProperties>
</file>